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1DFC9" w14:textId="3CF0C4AF" w:rsidR="00E56D08" w:rsidRPr="002A510F" w:rsidRDefault="00D77F47" w:rsidP="00666F0B">
      <w:pPr>
        <w:spacing w:line="360" w:lineRule="auto"/>
        <w:jc w:val="center"/>
        <w:rPr>
          <w:rFonts w:ascii="Times New Roman" w:eastAsia="Book Antiqua" w:hAnsi="Times New Roman" w:cs="Times New Roman"/>
          <w:b/>
          <w:color w:val="000000"/>
          <w:sz w:val="28"/>
          <w:szCs w:val="28"/>
          <w:lang w:val="es-ES_tradnl" w:eastAsia="es-ES_tradnl"/>
        </w:rPr>
      </w:pPr>
      <w:r w:rsidRPr="002A510F">
        <w:rPr>
          <w:rFonts w:ascii="Times New Roman" w:eastAsia="Book Antiqua" w:hAnsi="Times New Roman" w:cs="Times New Roman"/>
          <w:b/>
          <w:color w:val="000000"/>
          <w:sz w:val="28"/>
          <w:szCs w:val="28"/>
          <w:lang w:val="es-ES_tradnl" w:eastAsia="es-ES_tradnl"/>
        </w:rPr>
        <w:t>JUSTICIA ALGORÍTMICA Y DERECHO PENAL.</w:t>
      </w:r>
    </w:p>
    <w:p w14:paraId="5A77C063" w14:textId="02AEF335" w:rsidR="00666F0B" w:rsidRPr="002A510F" w:rsidRDefault="00666F0B" w:rsidP="00063027">
      <w:pPr>
        <w:spacing w:line="360" w:lineRule="auto"/>
        <w:jc w:val="center"/>
        <w:rPr>
          <w:rFonts w:ascii="Times New Roman" w:eastAsia="Book Antiqua" w:hAnsi="Times New Roman" w:cs="Times New Roman"/>
          <w:i/>
          <w:color w:val="000000"/>
          <w:lang w:val="es-ES_tradnl" w:eastAsia="es-ES_tradnl"/>
        </w:rPr>
      </w:pPr>
      <w:r w:rsidRPr="002A510F">
        <w:rPr>
          <w:rFonts w:ascii="Times New Roman" w:eastAsia="Book Antiqua" w:hAnsi="Times New Roman" w:cs="Times New Roman"/>
          <w:color w:val="000000"/>
          <w:lang w:val="es-ES_tradnl" w:eastAsia="es-ES_tradnl"/>
        </w:rPr>
        <w:t>Asier Urruela Mora</w:t>
      </w:r>
      <w:r w:rsidR="00D77F47" w:rsidRPr="002A510F">
        <w:rPr>
          <w:rStyle w:val="Refdenotaalpie"/>
          <w:rFonts w:ascii="Times New Roman" w:eastAsia="Book Antiqua" w:hAnsi="Times New Roman" w:cs="Times New Roman"/>
          <w:i/>
          <w:color w:val="000000"/>
          <w:lang w:val="es-ES_tradnl" w:eastAsia="es-ES_tradnl"/>
        </w:rPr>
        <w:footnoteReference w:customMarkFollows="1" w:id="1"/>
        <w:t>*</w:t>
      </w:r>
    </w:p>
    <w:p w14:paraId="72D4862A" w14:textId="77777777" w:rsidR="00D364F9" w:rsidRPr="002A510F" w:rsidRDefault="00D364F9" w:rsidP="00666F0B">
      <w:pPr>
        <w:spacing w:line="360" w:lineRule="auto"/>
        <w:jc w:val="center"/>
        <w:rPr>
          <w:rFonts w:ascii="Times New Roman" w:eastAsia="Book Antiqua" w:hAnsi="Times New Roman" w:cs="Times New Roman"/>
          <w:color w:val="000000"/>
          <w:lang w:val="es-ES_tradnl" w:eastAsia="es-ES_tradnl"/>
        </w:rPr>
      </w:pPr>
    </w:p>
    <w:p w14:paraId="6B5AE83E" w14:textId="18E6B747" w:rsidR="00E56D08" w:rsidRPr="002A510F" w:rsidRDefault="00D77F47" w:rsidP="005443D8">
      <w:pPr>
        <w:pStyle w:val="Prrafodelista"/>
        <w:numPr>
          <w:ilvl w:val="0"/>
          <w:numId w:val="1"/>
        </w:numPr>
        <w:spacing w:line="360" w:lineRule="auto"/>
        <w:jc w:val="both"/>
        <w:rPr>
          <w:rFonts w:ascii="Times New Roman" w:eastAsia="Book Antiqua" w:hAnsi="Times New Roman" w:cs="Times New Roman"/>
          <w:b/>
          <w:lang w:eastAsia="es-ES_tradnl"/>
        </w:rPr>
      </w:pPr>
      <w:r w:rsidRPr="002A510F">
        <w:rPr>
          <w:rFonts w:ascii="Times New Roman" w:eastAsia="Book Antiqua" w:hAnsi="Times New Roman" w:cs="Times New Roman"/>
          <w:b/>
          <w:i/>
          <w:lang w:eastAsia="es-ES_tradnl"/>
        </w:rPr>
        <w:t>EVIDENCE BASED SENTENCING</w:t>
      </w:r>
      <w:r w:rsidRPr="002A510F">
        <w:rPr>
          <w:rFonts w:ascii="Times New Roman" w:eastAsia="Book Antiqua" w:hAnsi="Times New Roman" w:cs="Times New Roman"/>
          <w:b/>
          <w:lang w:eastAsia="es-ES_tradnl"/>
        </w:rPr>
        <w:t xml:space="preserve"> COMO PARADIGMA DE INTRODUCCIÓN DE LOS INSTRUMENTOS DE EVALUACIÓN DEL RIESGO DE VIOLENCIA EN LA ESFERA DEL PROCESO PENAL</w:t>
      </w:r>
    </w:p>
    <w:p w14:paraId="7BE6C07E" w14:textId="0E85F207" w:rsidR="00485B5F" w:rsidRPr="002A510F" w:rsidRDefault="00277B89" w:rsidP="005443D8">
      <w:pPr>
        <w:spacing w:line="360" w:lineRule="auto"/>
        <w:jc w:val="both"/>
        <w:rPr>
          <w:rFonts w:ascii="Times New Roman" w:eastAsia="Book Antiqua" w:hAnsi="Times New Roman" w:cs="Times New Roman"/>
          <w:lang w:eastAsia="es-ES_tradnl"/>
        </w:rPr>
      </w:pPr>
      <w:r w:rsidRPr="002A510F">
        <w:rPr>
          <w:rFonts w:ascii="Times New Roman" w:eastAsia="Book Antiqua" w:hAnsi="Times New Roman" w:cs="Times New Roman"/>
          <w:lang w:eastAsia="es-ES_tradnl"/>
        </w:rPr>
        <w:t>E</w:t>
      </w:r>
      <w:r w:rsidR="00485B5F" w:rsidRPr="002A510F">
        <w:rPr>
          <w:rFonts w:ascii="Times New Roman" w:eastAsia="Book Antiqua" w:hAnsi="Times New Roman" w:cs="Times New Roman"/>
          <w:lang w:eastAsia="es-ES_tradnl"/>
        </w:rPr>
        <w:t xml:space="preserve">n las últimas décadas se perciben nítidamente distintos intentos operacionales provenientes del ámbito de disciplinas científicas como la </w:t>
      </w:r>
      <w:r w:rsidR="00D86249">
        <w:rPr>
          <w:rFonts w:ascii="Times New Roman" w:eastAsia="Book Antiqua" w:hAnsi="Times New Roman" w:cs="Times New Roman"/>
          <w:lang w:eastAsia="es-ES_tradnl"/>
        </w:rPr>
        <w:t>P</w:t>
      </w:r>
      <w:r w:rsidR="00485B5F" w:rsidRPr="002A510F">
        <w:rPr>
          <w:rFonts w:ascii="Times New Roman" w:eastAsia="Book Antiqua" w:hAnsi="Times New Roman" w:cs="Times New Roman"/>
          <w:lang w:eastAsia="es-ES_tradnl"/>
        </w:rPr>
        <w:t xml:space="preserve">sicología o la </w:t>
      </w:r>
      <w:r w:rsidR="00D86249">
        <w:rPr>
          <w:rFonts w:ascii="Times New Roman" w:eastAsia="Book Antiqua" w:hAnsi="Times New Roman" w:cs="Times New Roman"/>
          <w:lang w:eastAsia="es-ES_tradnl"/>
        </w:rPr>
        <w:t>C</w:t>
      </w:r>
      <w:r w:rsidR="00485B5F" w:rsidRPr="002A510F">
        <w:rPr>
          <w:rFonts w:ascii="Times New Roman" w:eastAsia="Book Antiqua" w:hAnsi="Times New Roman" w:cs="Times New Roman"/>
          <w:lang w:eastAsia="es-ES_tradnl"/>
        </w:rPr>
        <w:t>riminología en países como EE.UU., Reino Unido o Canadá, entre otros, objeto de recepción en España y consistentes en sustituir el concepto de peligrosidad</w:t>
      </w:r>
      <w:r w:rsidR="00C95431" w:rsidRPr="002A510F">
        <w:rPr>
          <w:rFonts w:ascii="Times New Roman" w:eastAsia="Book Antiqua" w:hAnsi="Times New Roman" w:cs="Times New Roman"/>
          <w:lang w:eastAsia="es-ES_tradnl"/>
        </w:rPr>
        <w:t xml:space="preserve"> criminal (entendido como un referente dogmático en la esfera penal)</w:t>
      </w:r>
      <w:r w:rsidR="00485B5F" w:rsidRPr="002A510F">
        <w:rPr>
          <w:rFonts w:ascii="Times New Roman" w:eastAsia="Book Antiqua" w:hAnsi="Times New Roman" w:cs="Times New Roman"/>
          <w:lang w:eastAsia="es-ES_tradnl"/>
        </w:rPr>
        <w:t xml:space="preserve"> por un supuestamente más objetivo “riesgo de violencia”</w:t>
      </w:r>
      <w:r w:rsidR="00485B5F" w:rsidRPr="002A510F">
        <w:rPr>
          <w:rFonts w:ascii="Times New Roman" w:eastAsia="Book Antiqua" w:hAnsi="Times New Roman" w:cs="Times New Roman"/>
          <w:vertAlign w:val="superscript"/>
          <w:lang w:eastAsia="es-ES_tradnl"/>
        </w:rPr>
        <w:t xml:space="preserve"> </w:t>
      </w:r>
      <w:r w:rsidR="00485B5F" w:rsidRPr="002A510F">
        <w:rPr>
          <w:rFonts w:ascii="Times New Roman" w:eastAsia="Book Antiqua" w:hAnsi="Times New Roman" w:cs="Times New Roman"/>
          <w:lang w:eastAsia="es-ES_tradnl"/>
        </w:rPr>
        <w:t>(variable que, en países como Estados Unidos, entre otros, sirve para incidir en la modalidad y extensión de la consecuencia jurídico-penal aplicable a sujetos imputables)</w:t>
      </w:r>
      <w:r w:rsidR="00485B5F" w:rsidRPr="002A510F">
        <w:rPr>
          <w:rFonts w:ascii="Times New Roman" w:eastAsia="Book Antiqua" w:hAnsi="Times New Roman" w:cs="Times New Roman"/>
          <w:vertAlign w:val="superscript"/>
          <w:lang w:eastAsia="es-ES_tradnl"/>
        </w:rPr>
        <w:footnoteReference w:id="2"/>
      </w:r>
      <w:r w:rsidR="00485B5F" w:rsidRPr="002A510F">
        <w:rPr>
          <w:rFonts w:ascii="Times New Roman" w:eastAsia="Book Antiqua" w:hAnsi="Times New Roman" w:cs="Times New Roman"/>
          <w:lang w:eastAsia="es-ES_tradnl"/>
        </w:rPr>
        <w:t xml:space="preserve">.  </w:t>
      </w:r>
    </w:p>
    <w:p w14:paraId="5E739CA8" w14:textId="4F1F49E8" w:rsidR="00485B5F" w:rsidRPr="002A510F" w:rsidRDefault="00485B5F" w:rsidP="005443D8">
      <w:pPr>
        <w:spacing w:line="360" w:lineRule="auto"/>
        <w:jc w:val="both"/>
        <w:rPr>
          <w:rFonts w:ascii="Times New Roman" w:eastAsia="Book Antiqua" w:hAnsi="Times New Roman" w:cs="Times New Roman"/>
          <w:lang w:eastAsia="es-ES_tradnl"/>
        </w:rPr>
      </w:pPr>
      <w:r w:rsidRPr="002A510F">
        <w:rPr>
          <w:rFonts w:ascii="Times New Roman" w:eastAsia="Book Antiqua" w:hAnsi="Times New Roman" w:cs="Times New Roman"/>
          <w:lang w:eastAsia="es-ES_tradnl"/>
        </w:rPr>
        <w:t>Resulta fundamental</w:t>
      </w:r>
      <w:r w:rsidR="00D86249">
        <w:rPr>
          <w:rFonts w:ascii="Times New Roman" w:eastAsia="Book Antiqua" w:hAnsi="Times New Roman" w:cs="Times New Roman"/>
          <w:lang w:eastAsia="es-ES_tradnl"/>
        </w:rPr>
        <w:t>,</w:t>
      </w:r>
      <w:r w:rsidRPr="002A510F">
        <w:rPr>
          <w:rFonts w:ascii="Times New Roman" w:eastAsia="Book Antiqua" w:hAnsi="Times New Roman" w:cs="Times New Roman"/>
          <w:lang w:eastAsia="es-ES_tradnl"/>
        </w:rPr>
        <w:t xml:space="preserve"> en este punto</w:t>
      </w:r>
      <w:r w:rsidR="00D86249">
        <w:rPr>
          <w:rFonts w:ascii="Times New Roman" w:eastAsia="Book Antiqua" w:hAnsi="Times New Roman" w:cs="Times New Roman"/>
          <w:lang w:eastAsia="es-ES_tradnl"/>
        </w:rPr>
        <w:t>,</w:t>
      </w:r>
      <w:r w:rsidRPr="002A510F">
        <w:rPr>
          <w:rFonts w:ascii="Times New Roman" w:eastAsia="Book Antiqua" w:hAnsi="Times New Roman" w:cs="Times New Roman"/>
          <w:lang w:eastAsia="es-ES_tradnl"/>
        </w:rPr>
        <w:t xml:space="preserve"> analizar de manera pormenorizada el funcionamiento de los principales instrumentos actuariales de evaluación del riesgo de violencia empleados en la práctica forense (al objeto del presente trabajo nos centraremos en la praxis judicial estadounidense) con el fin de contrastar lo acertado de los postulados favorables a la incidencia de dichos instrumentos en la </w:t>
      </w:r>
      <w:r w:rsidR="00197E3D" w:rsidRPr="002A510F">
        <w:rPr>
          <w:rFonts w:ascii="Times New Roman" w:eastAsia="Book Antiqua" w:hAnsi="Times New Roman" w:cs="Times New Roman"/>
          <w:lang w:eastAsia="es-ES_tradnl"/>
        </w:rPr>
        <w:t>sentencia penal</w:t>
      </w:r>
      <w:r w:rsidRPr="002A510F">
        <w:rPr>
          <w:rFonts w:ascii="Times New Roman" w:eastAsia="Book Antiqua" w:hAnsi="Times New Roman" w:cs="Times New Roman"/>
          <w:lang w:eastAsia="es-ES_tradnl"/>
        </w:rPr>
        <w:t xml:space="preserve">, tal como sostiene un sector importante de la doctrina en EE.UU. A efectos de contextualizar las actuales tendencias en materia de </w:t>
      </w:r>
      <w:r w:rsidR="00277B89" w:rsidRPr="002A510F">
        <w:rPr>
          <w:rFonts w:ascii="Times New Roman" w:eastAsia="Book Antiqua" w:hAnsi="Times New Roman" w:cs="Times New Roman"/>
          <w:lang w:eastAsia="es-ES_tradnl"/>
        </w:rPr>
        <w:t>concreción</w:t>
      </w:r>
      <w:r w:rsidRPr="002A510F">
        <w:rPr>
          <w:rFonts w:ascii="Times New Roman" w:eastAsia="Book Antiqua" w:hAnsi="Times New Roman" w:cs="Times New Roman"/>
          <w:lang w:eastAsia="es-ES_tradnl"/>
        </w:rPr>
        <w:t xml:space="preserve"> del riesgo de violencia cabe diferenciar, siguiendo a </w:t>
      </w:r>
      <w:r w:rsidRPr="002A510F">
        <w:rPr>
          <w:rFonts w:ascii="Times New Roman" w:eastAsia="Book Antiqua" w:hAnsi="Times New Roman" w:cs="Times New Roman"/>
          <w:smallCaps/>
          <w:lang w:eastAsia="es-ES_tradnl"/>
        </w:rPr>
        <w:t>Hamilton</w:t>
      </w:r>
      <w:r w:rsidRPr="002A510F">
        <w:rPr>
          <w:rFonts w:ascii="Times New Roman" w:eastAsia="Book Antiqua" w:hAnsi="Times New Roman" w:cs="Times New Roman"/>
          <w:vertAlign w:val="superscript"/>
          <w:lang w:eastAsia="es-ES_tradnl"/>
        </w:rPr>
        <w:footnoteReference w:id="3"/>
      </w:r>
      <w:r w:rsidRPr="002A510F">
        <w:rPr>
          <w:rFonts w:ascii="Times New Roman" w:eastAsia="Book Antiqua" w:hAnsi="Times New Roman" w:cs="Times New Roman"/>
          <w:lang w:eastAsia="es-ES_tradnl"/>
        </w:rPr>
        <w:t>, cuatro generaciones de instrumentos de evaluación del riesgo</w:t>
      </w:r>
      <w:r w:rsidRPr="002A510F">
        <w:rPr>
          <w:rFonts w:ascii="Times New Roman" w:eastAsia="Book Antiqua" w:hAnsi="Times New Roman" w:cs="Times New Roman"/>
          <w:vertAlign w:val="superscript"/>
          <w:lang w:eastAsia="es-ES_tradnl"/>
        </w:rPr>
        <w:footnoteReference w:id="4"/>
      </w:r>
      <w:r w:rsidRPr="002A510F">
        <w:rPr>
          <w:rFonts w:ascii="Times New Roman" w:eastAsia="Book Antiqua" w:hAnsi="Times New Roman" w:cs="Times New Roman"/>
          <w:lang w:eastAsia="es-ES_tradnl"/>
        </w:rPr>
        <w:t xml:space="preserve">. La primera se corresponde con la actuación de clínicos procediendo a llevar a cabo entrevistas no estructuradas o semi-estructuradas con el fin de obtener información relevante que, sobre </w:t>
      </w:r>
      <w:r w:rsidRPr="002A510F">
        <w:rPr>
          <w:rFonts w:ascii="Times New Roman" w:eastAsia="Book Antiqua" w:hAnsi="Times New Roman" w:cs="Times New Roman"/>
          <w:lang w:eastAsia="es-ES_tradnl"/>
        </w:rPr>
        <w:lastRenderedPageBreak/>
        <w:t xml:space="preserve">la base de la experiencia y la competencia del profesional, determinaba los factores de riesgo de reincidencia. Las mejoras introducidas posteriormente en la validez predictiva de los instrumentos provocaron que dichas metodologías fueran superadas por instrumentos de generaciones ulteriores. La segunda generación de evaluaciones consistía en instrumentos de puntuación basados en la evidencia empírica integrados por aquellas variables que mostraban una correlación estadística mayor con la reincidencia (en esta generación se incluyen instrumentos tan conocidos como el </w:t>
      </w:r>
      <w:proofErr w:type="spellStart"/>
      <w:r w:rsidRPr="002A510F">
        <w:rPr>
          <w:rFonts w:ascii="Times New Roman" w:eastAsia="Book Antiqua" w:hAnsi="Times New Roman" w:cs="Times New Roman"/>
          <w:i/>
          <w:lang w:eastAsia="es-ES_tradnl"/>
        </w:rPr>
        <w:t>Violence</w:t>
      </w:r>
      <w:proofErr w:type="spellEnd"/>
      <w:r w:rsidRPr="002A510F">
        <w:rPr>
          <w:rFonts w:ascii="Times New Roman" w:eastAsia="Book Antiqua" w:hAnsi="Times New Roman" w:cs="Times New Roman"/>
          <w:i/>
          <w:lang w:eastAsia="es-ES_tradnl"/>
        </w:rPr>
        <w:t xml:space="preserve"> </w:t>
      </w:r>
      <w:proofErr w:type="spellStart"/>
      <w:r w:rsidRPr="002A510F">
        <w:rPr>
          <w:rFonts w:ascii="Times New Roman" w:eastAsia="Book Antiqua" w:hAnsi="Times New Roman" w:cs="Times New Roman"/>
          <w:i/>
          <w:lang w:eastAsia="es-ES_tradnl"/>
        </w:rPr>
        <w:t>Appraisal</w:t>
      </w:r>
      <w:proofErr w:type="spellEnd"/>
      <w:r w:rsidRPr="002A510F">
        <w:rPr>
          <w:rFonts w:ascii="Times New Roman" w:eastAsia="Book Antiqua" w:hAnsi="Times New Roman" w:cs="Times New Roman"/>
          <w:i/>
          <w:lang w:eastAsia="es-ES_tradnl"/>
        </w:rPr>
        <w:t xml:space="preserve"> </w:t>
      </w:r>
      <w:proofErr w:type="spellStart"/>
      <w:r w:rsidRPr="002A510F">
        <w:rPr>
          <w:rFonts w:ascii="Times New Roman" w:eastAsia="Book Antiqua" w:hAnsi="Times New Roman" w:cs="Times New Roman"/>
          <w:i/>
          <w:lang w:eastAsia="es-ES_tradnl"/>
        </w:rPr>
        <w:t>Guide</w:t>
      </w:r>
      <w:proofErr w:type="spellEnd"/>
      <w:r w:rsidRPr="002A510F">
        <w:rPr>
          <w:rFonts w:ascii="Times New Roman" w:eastAsia="Book Antiqua" w:hAnsi="Times New Roman" w:cs="Times New Roman"/>
          <w:lang w:eastAsia="es-ES_tradnl"/>
        </w:rPr>
        <w:t xml:space="preserve">-VRAG, el Static-99 o el </w:t>
      </w:r>
      <w:r w:rsidRPr="002A510F">
        <w:rPr>
          <w:rFonts w:ascii="Times New Roman" w:eastAsia="Book Antiqua" w:hAnsi="Times New Roman" w:cs="Times New Roman"/>
          <w:i/>
          <w:lang w:eastAsia="es-ES_tradnl"/>
        </w:rPr>
        <w:t xml:space="preserve">Pre-Trial </w:t>
      </w:r>
      <w:proofErr w:type="spellStart"/>
      <w:r w:rsidRPr="002A510F">
        <w:rPr>
          <w:rFonts w:ascii="Times New Roman" w:eastAsia="Book Antiqua" w:hAnsi="Times New Roman" w:cs="Times New Roman"/>
          <w:i/>
          <w:lang w:eastAsia="es-ES_tradnl"/>
        </w:rPr>
        <w:t>Risk</w:t>
      </w:r>
      <w:proofErr w:type="spellEnd"/>
      <w:r w:rsidRPr="002A510F">
        <w:rPr>
          <w:rFonts w:ascii="Times New Roman" w:eastAsia="Book Antiqua" w:hAnsi="Times New Roman" w:cs="Times New Roman"/>
          <w:i/>
          <w:lang w:eastAsia="es-ES_tradnl"/>
        </w:rPr>
        <w:t xml:space="preserve"> </w:t>
      </w:r>
      <w:proofErr w:type="spellStart"/>
      <w:r w:rsidRPr="002A510F">
        <w:rPr>
          <w:rFonts w:ascii="Times New Roman" w:eastAsia="Book Antiqua" w:hAnsi="Times New Roman" w:cs="Times New Roman"/>
          <w:i/>
          <w:lang w:eastAsia="es-ES_tradnl"/>
        </w:rPr>
        <w:t>Assessment</w:t>
      </w:r>
      <w:proofErr w:type="spellEnd"/>
      <w:r w:rsidRPr="002A510F">
        <w:rPr>
          <w:rFonts w:ascii="Times New Roman" w:eastAsia="Book Antiqua" w:hAnsi="Times New Roman" w:cs="Times New Roman"/>
          <w:i/>
          <w:lang w:eastAsia="es-ES_tradnl"/>
        </w:rPr>
        <w:t xml:space="preserve"> </w:t>
      </w:r>
      <w:proofErr w:type="spellStart"/>
      <w:r w:rsidRPr="002A510F">
        <w:rPr>
          <w:rFonts w:ascii="Times New Roman" w:eastAsia="Book Antiqua" w:hAnsi="Times New Roman" w:cs="Times New Roman"/>
          <w:i/>
          <w:lang w:eastAsia="es-ES_tradnl"/>
        </w:rPr>
        <w:t>tool</w:t>
      </w:r>
      <w:proofErr w:type="spellEnd"/>
      <w:r w:rsidRPr="002A510F">
        <w:rPr>
          <w:rFonts w:ascii="Times New Roman" w:eastAsia="Book Antiqua" w:hAnsi="Times New Roman" w:cs="Times New Roman"/>
          <w:lang w:eastAsia="es-ES_tradnl"/>
        </w:rPr>
        <w:t xml:space="preserve">-PTRA). La tercera generación de instrumentos combinaba evaluación actuarial con juicio profesional dirigido, integrando asimismo factores estáticos y dinámicos (ejemplos de herramienta de esta naturaleza son el HCR-20 que integra 20 factores de riesgo en ámbitos históricos, clínicos y de gestión del riesgo o el </w:t>
      </w:r>
      <w:proofErr w:type="spellStart"/>
      <w:r w:rsidRPr="002A510F">
        <w:rPr>
          <w:rFonts w:ascii="Times New Roman" w:eastAsia="Book Antiqua" w:hAnsi="Times New Roman" w:cs="Times New Roman"/>
          <w:i/>
          <w:lang w:eastAsia="es-ES_tradnl"/>
        </w:rPr>
        <w:t>Level</w:t>
      </w:r>
      <w:proofErr w:type="spellEnd"/>
      <w:r w:rsidRPr="002A510F">
        <w:rPr>
          <w:rFonts w:ascii="Times New Roman" w:eastAsia="Book Antiqua" w:hAnsi="Times New Roman" w:cs="Times New Roman"/>
          <w:i/>
          <w:lang w:eastAsia="es-ES_tradnl"/>
        </w:rPr>
        <w:t xml:space="preserve"> of </w:t>
      </w:r>
      <w:proofErr w:type="spellStart"/>
      <w:r w:rsidRPr="002A510F">
        <w:rPr>
          <w:rFonts w:ascii="Times New Roman" w:eastAsia="Book Antiqua" w:hAnsi="Times New Roman" w:cs="Times New Roman"/>
          <w:i/>
          <w:lang w:eastAsia="es-ES_tradnl"/>
        </w:rPr>
        <w:t>Service</w:t>
      </w:r>
      <w:proofErr w:type="spellEnd"/>
      <w:r w:rsidRPr="002A510F">
        <w:rPr>
          <w:rFonts w:ascii="Times New Roman" w:eastAsia="Book Antiqua" w:hAnsi="Times New Roman" w:cs="Times New Roman"/>
          <w:i/>
          <w:lang w:eastAsia="es-ES_tradnl"/>
        </w:rPr>
        <w:t xml:space="preserve"> </w:t>
      </w:r>
      <w:proofErr w:type="spellStart"/>
      <w:r w:rsidRPr="002A510F">
        <w:rPr>
          <w:rFonts w:ascii="Times New Roman" w:eastAsia="Book Antiqua" w:hAnsi="Times New Roman" w:cs="Times New Roman"/>
          <w:i/>
          <w:lang w:eastAsia="es-ES_tradnl"/>
        </w:rPr>
        <w:t>Inventory</w:t>
      </w:r>
      <w:proofErr w:type="spellEnd"/>
      <w:r w:rsidRPr="002A510F">
        <w:rPr>
          <w:rFonts w:ascii="Times New Roman" w:eastAsia="Book Antiqua" w:hAnsi="Times New Roman" w:cs="Times New Roman"/>
          <w:i/>
          <w:lang w:eastAsia="es-ES_tradnl"/>
        </w:rPr>
        <w:t xml:space="preserve"> </w:t>
      </w:r>
      <w:proofErr w:type="spellStart"/>
      <w:r w:rsidRPr="002A510F">
        <w:rPr>
          <w:rFonts w:ascii="Times New Roman" w:eastAsia="Book Antiqua" w:hAnsi="Times New Roman" w:cs="Times New Roman"/>
          <w:i/>
          <w:lang w:eastAsia="es-ES_tradnl"/>
        </w:rPr>
        <w:t>Revised</w:t>
      </w:r>
      <w:proofErr w:type="spellEnd"/>
      <w:r w:rsidRPr="002A510F">
        <w:rPr>
          <w:rFonts w:ascii="Times New Roman" w:eastAsia="Book Antiqua" w:hAnsi="Times New Roman" w:cs="Times New Roman"/>
          <w:lang w:eastAsia="es-ES_tradnl"/>
        </w:rPr>
        <w:t>; LSI-R</w:t>
      </w:r>
      <w:r w:rsidRPr="002A510F">
        <w:rPr>
          <w:rFonts w:ascii="Times New Roman" w:eastAsia="Book Antiqua" w:hAnsi="Times New Roman" w:cs="Times New Roman"/>
          <w:vertAlign w:val="superscript"/>
          <w:lang w:eastAsia="es-ES_tradnl"/>
        </w:rPr>
        <w:footnoteReference w:id="5"/>
      </w:r>
      <w:r w:rsidRPr="002A510F">
        <w:rPr>
          <w:rFonts w:ascii="Times New Roman" w:eastAsia="Book Antiqua" w:hAnsi="Times New Roman" w:cs="Times New Roman"/>
          <w:lang w:eastAsia="es-ES_tradnl"/>
        </w:rPr>
        <w:t xml:space="preserve">). Finalmente, la cuarta generación de sistemas de evaluación procedió a añadir a la combinación de riesgo-necesidades criminógenas, los principios de capacidad de respuesta y una perspectiva más amplia del caso, gestión que abarca desde la admisión hasta el cierre del caso. Uno de los instrumentos de cuarta generación más extendidos en la práctica forense estadounidense es el </w:t>
      </w:r>
      <w:proofErr w:type="spellStart"/>
      <w:r w:rsidRPr="002A510F">
        <w:rPr>
          <w:rFonts w:ascii="Times New Roman" w:eastAsia="Book Antiqua" w:hAnsi="Times New Roman" w:cs="Times New Roman"/>
          <w:i/>
          <w:lang w:eastAsia="es-ES_tradnl"/>
        </w:rPr>
        <w:t>Correctional</w:t>
      </w:r>
      <w:proofErr w:type="spellEnd"/>
      <w:r w:rsidRPr="002A510F">
        <w:rPr>
          <w:rFonts w:ascii="Times New Roman" w:eastAsia="Book Antiqua" w:hAnsi="Times New Roman" w:cs="Times New Roman"/>
          <w:i/>
          <w:lang w:eastAsia="es-ES_tradnl"/>
        </w:rPr>
        <w:t xml:space="preserve"> </w:t>
      </w:r>
      <w:proofErr w:type="spellStart"/>
      <w:r w:rsidRPr="002A510F">
        <w:rPr>
          <w:rFonts w:ascii="Times New Roman" w:eastAsia="Book Antiqua" w:hAnsi="Times New Roman" w:cs="Times New Roman"/>
          <w:i/>
          <w:lang w:eastAsia="es-ES_tradnl"/>
        </w:rPr>
        <w:t>Offender</w:t>
      </w:r>
      <w:proofErr w:type="spellEnd"/>
      <w:r w:rsidRPr="002A510F">
        <w:rPr>
          <w:rFonts w:ascii="Times New Roman" w:eastAsia="Book Antiqua" w:hAnsi="Times New Roman" w:cs="Times New Roman"/>
          <w:i/>
          <w:lang w:eastAsia="es-ES_tradnl"/>
        </w:rPr>
        <w:t xml:space="preserve"> Management </w:t>
      </w:r>
      <w:proofErr w:type="spellStart"/>
      <w:r w:rsidRPr="002A510F">
        <w:rPr>
          <w:rFonts w:ascii="Times New Roman" w:eastAsia="Book Antiqua" w:hAnsi="Times New Roman" w:cs="Times New Roman"/>
          <w:i/>
          <w:lang w:eastAsia="es-ES_tradnl"/>
        </w:rPr>
        <w:t>Profiling</w:t>
      </w:r>
      <w:proofErr w:type="spellEnd"/>
      <w:r w:rsidRPr="002A510F">
        <w:rPr>
          <w:rFonts w:ascii="Times New Roman" w:eastAsia="Book Antiqua" w:hAnsi="Times New Roman" w:cs="Times New Roman"/>
          <w:i/>
          <w:lang w:eastAsia="es-ES_tradnl"/>
        </w:rPr>
        <w:t xml:space="preserve"> </w:t>
      </w:r>
      <w:proofErr w:type="spellStart"/>
      <w:r w:rsidRPr="002A510F">
        <w:rPr>
          <w:rFonts w:ascii="Times New Roman" w:eastAsia="Book Antiqua" w:hAnsi="Times New Roman" w:cs="Times New Roman"/>
          <w:i/>
          <w:lang w:eastAsia="es-ES_tradnl"/>
        </w:rPr>
        <w:t>for</w:t>
      </w:r>
      <w:proofErr w:type="spellEnd"/>
      <w:r w:rsidRPr="002A510F">
        <w:rPr>
          <w:rFonts w:ascii="Times New Roman" w:eastAsia="Book Antiqua" w:hAnsi="Times New Roman" w:cs="Times New Roman"/>
          <w:i/>
          <w:lang w:eastAsia="es-ES_tradnl"/>
        </w:rPr>
        <w:t xml:space="preserve"> </w:t>
      </w:r>
      <w:proofErr w:type="spellStart"/>
      <w:r w:rsidRPr="002A510F">
        <w:rPr>
          <w:rFonts w:ascii="Times New Roman" w:eastAsia="Book Antiqua" w:hAnsi="Times New Roman" w:cs="Times New Roman"/>
          <w:i/>
          <w:lang w:eastAsia="es-ES_tradnl"/>
        </w:rPr>
        <w:t>Alternative</w:t>
      </w:r>
      <w:proofErr w:type="spellEnd"/>
      <w:r w:rsidRPr="002A510F">
        <w:rPr>
          <w:rFonts w:ascii="Times New Roman" w:eastAsia="Book Antiqua" w:hAnsi="Times New Roman" w:cs="Times New Roman"/>
          <w:i/>
          <w:lang w:eastAsia="es-ES_tradnl"/>
        </w:rPr>
        <w:t xml:space="preserve"> </w:t>
      </w:r>
      <w:proofErr w:type="spellStart"/>
      <w:r w:rsidRPr="002A510F">
        <w:rPr>
          <w:rFonts w:ascii="Times New Roman" w:eastAsia="Book Antiqua" w:hAnsi="Times New Roman" w:cs="Times New Roman"/>
          <w:i/>
          <w:lang w:eastAsia="es-ES_tradnl"/>
        </w:rPr>
        <w:t>Sanctions</w:t>
      </w:r>
      <w:proofErr w:type="spellEnd"/>
      <w:r w:rsidRPr="002A510F">
        <w:rPr>
          <w:rFonts w:ascii="Times New Roman" w:eastAsia="Book Antiqua" w:hAnsi="Times New Roman" w:cs="Times New Roman"/>
          <w:i/>
          <w:lang w:eastAsia="es-ES_tradnl"/>
        </w:rPr>
        <w:t xml:space="preserve"> </w:t>
      </w:r>
      <w:r w:rsidRPr="002A510F">
        <w:rPr>
          <w:rFonts w:ascii="Times New Roman" w:eastAsia="Book Antiqua" w:hAnsi="Times New Roman" w:cs="Times New Roman"/>
          <w:lang w:eastAsia="es-ES_tradnl"/>
        </w:rPr>
        <w:t>(COMPAS)</w:t>
      </w:r>
      <w:r w:rsidRPr="002A510F">
        <w:rPr>
          <w:rFonts w:ascii="Times New Roman" w:eastAsia="Book Antiqua" w:hAnsi="Times New Roman" w:cs="Times New Roman"/>
          <w:vertAlign w:val="superscript"/>
          <w:lang w:eastAsia="es-ES_tradnl"/>
        </w:rPr>
        <w:footnoteReference w:id="6"/>
      </w:r>
      <w:r w:rsidRPr="002A510F">
        <w:rPr>
          <w:rFonts w:ascii="Times New Roman" w:eastAsia="Book Antiqua" w:hAnsi="Times New Roman" w:cs="Times New Roman"/>
          <w:lang w:eastAsia="es-ES_tradnl"/>
        </w:rPr>
        <w:t xml:space="preserve"> empleado en numerosas jurisdicciones penales estadounidenses y que representa el eje de lo que ha constituido el caso de referencia en el análisis de la admisibilidad de las </w:t>
      </w:r>
      <w:r w:rsidRPr="002A510F">
        <w:rPr>
          <w:rFonts w:ascii="Times New Roman" w:eastAsia="Book Antiqua" w:hAnsi="Times New Roman" w:cs="Times New Roman"/>
          <w:lang w:eastAsia="es-ES_tradnl"/>
        </w:rPr>
        <w:lastRenderedPageBreak/>
        <w:t xml:space="preserve">herramientas actuariales de predicción del riesgo en el sistema penal de dicho país (caso </w:t>
      </w:r>
      <w:proofErr w:type="spellStart"/>
      <w:r w:rsidRPr="002A510F">
        <w:rPr>
          <w:rFonts w:ascii="Times New Roman" w:eastAsia="Book Antiqua" w:hAnsi="Times New Roman" w:cs="Times New Roman"/>
          <w:i/>
          <w:lang w:eastAsia="es-ES_tradnl"/>
        </w:rPr>
        <w:t>State</w:t>
      </w:r>
      <w:proofErr w:type="spellEnd"/>
      <w:r w:rsidRPr="002A510F">
        <w:rPr>
          <w:rFonts w:ascii="Times New Roman" w:eastAsia="Book Antiqua" w:hAnsi="Times New Roman" w:cs="Times New Roman"/>
          <w:i/>
          <w:lang w:eastAsia="es-ES_tradnl"/>
        </w:rPr>
        <w:t xml:space="preserve"> of Wisconsin v. </w:t>
      </w:r>
      <w:proofErr w:type="spellStart"/>
      <w:r w:rsidRPr="002A510F">
        <w:rPr>
          <w:rFonts w:ascii="Times New Roman" w:eastAsia="Book Antiqua" w:hAnsi="Times New Roman" w:cs="Times New Roman"/>
          <w:i/>
          <w:lang w:eastAsia="es-ES_tradnl"/>
        </w:rPr>
        <w:t>Loomis</w:t>
      </w:r>
      <w:proofErr w:type="spellEnd"/>
      <w:r w:rsidRPr="002A510F">
        <w:rPr>
          <w:rFonts w:ascii="Times New Roman" w:eastAsia="Book Antiqua" w:hAnsi="Times New Roman" w:cs="Times New Roman"/>
          <w:i/>
          <w:vertAlign w:val="superscript"/>
          <w:lang w:eastAsia="es-ES_tradnl"/>
        </w:rPr>
        <w:footnoteReference w:id="7"/>
      </w:r>
      <w:r w:rsidRPr="002A510F">
        <w:rPr>
          <w:rFonts w:ascii="Times New Roman" w:eastAsia="Book Antiqua" w:hAnsi="Times New Roman" w:cs="Times New Roman"/>
          <w:lang w:eastAsia="es-ES_tradnl"/>
        </w:rPr>
        <w:t>)</w:t>
      </w:r>
      <w:r w:rsidRPr="002A510F">
        <w:rPr>
          <w:rFonts w:ascii="Times New Roman" w:eastAsia="Book Antiqua" w:hAnsi="Times New Roman" w:cs="Times New Roman"/>
          <w:vertAlign w:val="superscript"/>
          <w:lang w:eastAsia="es-ES_tradnl"/>
        </w:rPr>
        <w:footnoteReference w:id="8"/>
      </w:r>
      <w:r w:rsidRPr="002A510F">
        <w:rPr>
          <w:rFonts w:ascii="Times New Roman" w:eastAsia="Book Antiqua" w:hAnsi="Times New Roman" w:cs="Times New Roman"/>
          <w:lang w:eastAsia="es-ES_tradnl"/>
        </w:rPr>
        <w:t xml:space="preserve">.  </w:t>
      </w:r>
    </w:p>
    <w:p w14:paraId="3E8A6598" w14:textId="171269BB" w:rsidR="005C1438" w:rsidRPr="002A510F" w:rsidRDefault="00485B5F" w:rsidP="005C143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Book Antiqua" w:hAnsi="Times New Roman" w:cs="Times New Roman"/>
          <w:color w:val="000000"/>
          <w:lang w:eastAsia="es-ES_tradnl"/>
        </w:rPr>
      </w:pPr>
      <w:r w:rsidRPr="002A510F">
        <w:rPr>
          <w:rFonts w:ascii="Times New Roman" w:eastAsia="Book Antiqua" w:hAnsi="Times New Roman" w:cs="Times New Roman"/>
          <w:color w:val="000000"/>
          <w:lang w:eastAsia="es-ES_tradnl"/>
        </w:rPr>
        <w:t xml:space="preserve">Es en el referido marco de evolución, mejora y perfeccionamiento de los instrumentos actuariales de evaluación del riesgo de violencia a los que ya se atribuye un alto grado de fiabilidad en la predicción del comportamiento humano (particularmente, en lo que aquí nos interesa, del delictivo), en el que se inscribe el actual movimiento de incorporación de los mencionados instrumentos de evaluación del riesgo no sólo a esferas de la intervención penal en las que ya se encontraban asentados (en la praxis </w:t>
      </w:r>
      <w:r w:rsidRPr="002A510F">
        <w:rPr>
          <w:rFonts w:ascii="Times New Roman" w:eastAsia="Book Antiqua" w:hAnsi="Times New Roman" w:cs="Times New Roman"/>
          <w:lang w:eastAsia="es-ES_tradnl"/>
        </w:rPr>
        <w:t>estadounidense</w:t>
      </w:r>
      <w:r w:rsidRPr="002A510F">
        <w:rPr>
          <w:rFonts w:ascii="Times New Roman" w:eastAsia="Book Antiqua" w:hAnsi="Times New Roman" w:cs="Times New Roman"/>
          <w:color w:val="000000"/>
          <w:lang w:eastAsia="es-ES_tradnl"/>
        </w:rPr>
        <w:t xml:space="preserve">, entre otros, la </w:t>
      </w:r>
      <w:proofErr w:type="spellStart"/>
      <w:r w:rsidRPr="002A510F">
        <w:rPr>
          <w:rFonts w:ascii="Times New Roman" w:eastAsia="Book Antiqua" w:hAnsi="Times New Roman" w:cs="Times New Roman"/>
          <w:i/>
          <w:color w:val="000000"/>
          <w:lang w:eastAsia="es-ES_tradnl"/>
        </w:rPr>
        <w:t>parole</w:t>
      </w:r>
      <w:proofErr w:type="spellEnd"/>
      <w:r w:rsidRPr="002A510F">
        <w:rPr>
          <w:rFonts w:ascii="Times New Roman" w:eastAsia="Book Antiqua" w:hAnsi="Times New Roman" w:cs="Times New Roman"/>
          <w:color w:val="000000"/>
          <w:lang w:eastAsia="es-ES_tradnl"/>
        </w:rPr>
        <w:t xml:space="preserve"> o la asignación de los sujetos a los distintos programas de tratamiento) sino igualmente al ámbito de la determinación de la </w:t>
      </w:r>
      <w:r w:rsidR="00CD6088" w:rsidRPr="002A510F">
        <w:rPr>
          <w:rFonts w:ascii="Times New Roman" w:eastAsia="Book Antiqua" w:hAnsi="Times New Roman" w:cs="Times New Roman"/>
          <w:color w:val="000000"/>
          <w:lang w:eastAsia="es-ES_tradnl"/>
        </w:rPr>
        <w:t>sentencia en relación con</w:t>
      </w:r>
      <w:r w:rsidRPr="002A510F">
        <w:rPr>
          <w:rFonts w:ascii="Times New Roman" w:eastAsia="Book Antiqua" w:hAnsi="Times New Roman" w:cs="Times New Roman"/>
          <w:color w:val="000000"/>
          <w:lang w:eastAsia="es-ES_tradnl"/>
        </w:rPr>
        <w:t xml:space="preserve"> sujetos imputables. Se ha llegado a acuñar dicho proceso como </w:t>
      </w:r>
      <w:r w:rsidR="00CD6088" w:rsidRPr="002A510F">
        <w:rPr>
          <w:rFonts w:ascii="Times New Roman" w:eastAsia="Book Antiqua" w:hAnsi="Times New Roman" w:cs="Times New Roman"/>
          <w:color w:val="000000"/>
          <w:lang w:eastAsia="es-ES_tradnl"/>
        </w:rPr>
        <w:t>Sentencia</w:t>
      </w:r>
      <w:r w:rsidRPr="002A510F">
        <w:rPr>
          <w:rFonts w:ascii="Times New Roman" w:eastAsia="Book Antiqua" w:hAnsi="Times New Roman" w:cs="Times New Roman"/>
          <w:color w:val="000000"/>
          <w:lang w:eastAsia="es-ES_tradnl"/>
        </w:rPr>
        <w:t xml:space="preserve"> Basada en la Evidencia (EBS de sus siglas en inglés, </w:t>
      </w:r>
      <w:proofErr w:type="spellStart"/>
      <w:r w:rsidRPr="002A510F">
        <w:rPr>
          <w:rFonts w:ascii="Times New Roman" w:eastAsia="Book Antiqua" w:hAnsi="Times New Roman" w:cs="Times New Roman"/>
          <w:i/>
          <w:color w:val="000000"/>
          <w:lang w:eastAsia="es-ES_tradnl"/>
        </w:rPr>
        <w:t>Evidence</w:t>
      </w:r>
      <w:proofErr w:type="spellEnd"/>
      <w:r w:rsidRPr="002A510F">
        <w:rPr>
          <w:rFonts w:ascii="Times New Roman" w:eastAsia="Book Antiqua" w:hAnsi="Times New Roman" w:cs="Times New Roman"/>
          <w:i/>
          <w:color w:val="000000"/>
          <w:lang w:eastAsia="es-ES_tradnl"/>
        </w:rPr>
        <w:t xml:space="preserve"> </w:t>
      </w:r>
      <w:proofErr w:type="spellStart"/>
      <w:r w:rsidRPr="002A510F">
        <w:rPr>
          <w:rFonts w:ascii="Times New Roman" w:eastAsia="Book Antiqua" w:hAnsi="Times New Roman" w:cs="Times New Roman"/>
          <w:i/>
          <w:color w:val="000000"/>
          <w:lang w:eastAsia="es-ES_tradnl"/>
        </w:rPr>
        <w:t>Based</w:t>
      </w:r>
      <w:proofErr w:type="spellEnd"/>
      <w:r w:rsidRPr="002A510F">
        <w:rPr>
          <w:rFonts w:ascii="Times New Roman" w:eastAsia="Book Antiqua" w:hAnsi="Times New Roman" w:cs="Times New Roman"/>
          <w:i/>
          <w:color w:val="000000"/>
          <w:lang w:eastAsia="es-ES_tradnl"/>
        </w:rPr>
        <w:t xml:space="preserve"> </w:t>
      </w:r>
      <w:proofErr w:type="spellStart"/>
      <w:r w:rsidRPr="002A510F">
        <w:rPr>
          <w:rFonts w:ascii="Times New Roman" w:eastAsia="Book Antiqua" w:hAnsi="Times New Roman" w:cs="Times New Roman"/>
          <w:i/>
          <w:color w:val="000000"/>
          <w:lang w:eastAsia="es-ES_tradnl"/>
        </w:rPr>
        <w:t>Sentencing</w:t>
      </w:r>
      <w:proofErr w:type="spellEnd"/>
      <w:r w:rsidRPr="002A510F">
        <w:rPr>
          <w:rFonts w:ascii="Times New Roman" w:eastAsia="Book Antiqua" w:hAnsi="Times New Roman" w:cs="Times New Roman"/>
          <w:color w:val="000000"/>
          <w:lang w:eastAsia="es-ES_tradnl"/>
        </w:rPr>
        <w:t>) entendiendo por evidencia la investigación sobre factores que predicen la reincidencia delictiva con base en la cual se proporcionan a los jueces puntuaciones de riesgo para cada acusado en función de variables que, además de los antecedentes penales, suelen incluir sexo, edad, estado civil, y factores socioeconómicos como el empleo y la educación</w:t>
      </w:r>
      <w:r w:rsidRPr="002A510F">
        <w:rPr>
          <w:rFonts w:ascii="Times New Roman" w:eastAsia="Book Antiqua" w:hAnsi="Times New Roman" w:cs="Times New Roman"/>
          <w:color w:val="000000"/>
          <w:vertAlign w:val="superscript"/>
          <w:lang w:eastAsia="es-ES_tradnl"/>
        </w:rPr>
        <w:footnoteReference w:id="9"/>
      </w:r>
      <w:r w:rsidRPr="002A510F">
        <w:rPr>
          <w:rFonts w:ascii="Times New Roman" w:eastAsia="Book Antiqua" w:hAnsi="Times New Roman" w:cs="Times New Roman"/>
          <w:color w:val="000000"/>
          <w:lang w:eastAsia="es-ES_tradnl"/>
        </w:rPr>
        <w:t>.</w:t>
      </w:r>
      <w:bookmarkStart w:id="0" w:name="_Toc68521004"/>
    </w:p>
    <w:p w14:paraId="5FD0E145" w14:textId="77777777" w:rsidR="005C1438" w:rsidRPr="002A510F" w:rsidRDefault="005C1438" w:rsidP="005C143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Book Antiqua" w:hAnsi="Times New Roman" w:cs="Times New Roman"/>
          <w:b/>
          <w:i/>
          <w:color w:val="000000"/>
          <w:szCs w:val="32"/>
          <w:lang w:val="es-ES_tradnl" w:eastAsia="es-ES_tradnl"/>
        </w:rPr>
      </w:pPr>
    </w:p>
    <w:p w14:paraId="0C30A838" w14:textId="77777777" w:rsidR="005C1438" w:rsidRPr="002A510F" w:rsidRDefault="005C1438" w:rsidP="005C1438">
      <w:pPr>
        <w:pStyle w:val="Prrafodelista"/>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Book Antiqua" w:hAnsi="Times New Roman" w:cs="Times New Roman"/>
          <w:color w:val="000000"/>
          <w:lang w:eastAsia="es-ES_tradnl"/>
        </w:rPr>
      </w:pPr>
      <w:r w:rsidRPr="002A510F">
        <w:rPr>
          <w:rFonts w:ascii="Times New Roman" w:eastAsia="Book Antiqua" w:hAnsi="Times New Roman" w:cs="Times New Roman"/>
          <w:b/>
          <w:i/>
          <w:color w:val="000000"/>
          <w:szCs w:val="32"/>
          <w:lang w:val="es-ES_tradnl" w:eastAsia="es-ES_tradnl"/>
        </w:rPr>
        <w:t>CONSIDERACIONES CRÍTICAS EN TORNO AL EMPLEO DE INSTRUMENTOS ACTUARIALES DE EVALUACIÓN DEL RIESGO PARA LA DETERMINACIÓN DE LA SENTENCIA PENAL</w:t>
      </w:r>
      <w:bookmarkStart w:id="1" w:name="_Toc68521005"/>
      <w:bookmarkEnd w:id="0"/>
    </w:p>
    <w:p w14:paraId="36EC0A19" w14:textId="4452EE7D" w:rsidR="00485B5F" w:rsidRPr="002A510F" w:rsidRDefault="00485B5F" w:rsidP="00FF0E6A">
      <w:pPr>
        <w:pStyle w:val="Prrafodelista"/>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Book Antiqua" w:hAnsi="Times New Roman" w:cs="Times New Roman"/>
          <w:color w:val="000000"/>
          <w:lang w:eastAsia="es-ES_tradnl"/>
        </w:rPr>
      </w:pPr>
      <w:r w:rsidRPr="002A510F">
        <w:rPr>
          <w:rFonts w:ascii="Times New Roman" w:eastAsia="Times New Roman" w:hAnsi="Times New Roman" w:cs="Times New Roman"/>
          <w:b/>
          <w:color w:val="000000"/>
          <w:szCs w:val="26"/>
          <w:lang w:val="es-ES_tradnl"/>
        </w:rPr>
        <w:t>La capacidad de las herramientas actuariales de evaluación del riesgo para predecir el comportamiento criminal futuro a nivel individual</w:t>
      </w:r>
      <w:bookmarkEnd w:id="1"/>
    </w:p>
    <w:p w14:paraId="3C80A3CF" w14:textId="6ACFC362" w:rsidR="00485B5F" w:rsidRPr="002A510F" w:rsidRDefault="00485B5F" w:rsidP="005443D8">
      <w:pPr>
        <w:spacing w:line="360" w:lineRule="auto"/>
        <w:jc w:val="both"/>
        <w:rPr>
          <w:rFonts w:ascii="Times New Roman" w:eastAsia="Book Antiqua" w:hAnsi="Times New Roman" w:cs="Times New Roman"/>
          <w:lang w:eastAsia="es-ES_tradnl"/>
        </w:rPr>
      </w:pPr>
      <w:r w:rsidRPr="002A510F">
        <w:rPr>
          <w:rFonts w:ascii="Times New Roman" w:eastAsia="Book Antiqua" w:hAnsi="Times New Roman" w:cs="Times New Roman"/>
          <w:lang w:eastAsia="es-ES_tradnl"/>
        </w:rPr>
        <w:t xml:space="preserve">Una primera cuestión que procede abordar, en relación con el empleo de instrumentos de evaluación del riesgo de violencia en el marco del proceso penal con la finalidad de incidir </w:t>
      </w:r>
      <w:r w:rsidRPr="002A510F">
        <w:rPr>
          <w:rFonts w:ascii="Times New Roman" w:eastAsia="Book Antiqua" w:hAnsi="Times New Roman" w:cs="Times New Roman"/>
          <w:lang w:eastAsia="es-ES_tradnl"/>
        </w:rPr>
        <w:lastRenderedPageBreak/>
        <w:t>en la sentencia a imponer, es la relativa a la capacidad predictiva misma de la herramienta. En este sentido, un sector muy relevante y cualificado de la doctrina estadounidense ha puesto seriamente en entredicho la supuesta fiabilidad y exactitud de dicho instrumental al objeto de predecir el comportamiento criminal futuro del sujeto.</w:t>
      </w:r>
      <w:r w:rsidR="00733F9D" w:rsidRPr="002A510F">
        <w:rPr>
          <w:rFonts w:ascii="Times New Roman" w:eastAsia="Book Antiqua" w:hAnsi="Times New Roman" w:cs="Times New Roman"/>
          <w:lang w:eastAsia="es-ES_tradnl"/>
        </w:rPr>
        <w:t xml:space="preserve"> </w:t>
      </w:r>
      <w:r w:rsidRPr="002A510F">
        <w:rPr>
          <w:rFonts w:ascii="Times New Roman" w:eastAsia="Book Antiqua" w:hAnsi="Times New Roman" w:cs="Times New Roman"/>
          <w:lang w:eastAsia="es-ES_tradnl"/>
        </w:rPr>
        <w:t>Resulta fundamental evidenciar que los instrumentos de evaluación del riesgo de violencia adolecen de una capacidad predictiva de los futuros delitos de un concreto individuo relativamente baja por lo que su incorporación a la esfera penal exige importantes cautelas</w:t>
      </w:r>
      <w:r w:rsidRPr="002A510F">
        <w:rPr>
          <w:rFonts w:ascii="Times New Roman" w:eastAsia="Book Antiqua" w:hAnsi="Times New Roman" w:cs="Times New Roman"/>
          <w:vertAlign w:val="superscript"/>
          <w:lang w:eastAsia="es-ES_tradnl"/>
        </w:rPr>
        <w:footnoteReference w:id="10"/>
      </w:r>
      <w:r w:rsidRPr="002A510F">
        <w:rPr>
          <w:rFonts w:ascii="Times New Roman" w:eastAsia="Book Antiqua" w:hAnsi="Times New Roman" w:cs="Times New Roman"/>
          <w:lang w:eastAsia="es-ES_tradnl"/>
        </w:rPr>
        <w:t xml:space="preserve">. </w:t>
      </w:r>
    </w:p>
    <w:p w14:paraId="2E190541" w14:textId="35E69876" w:rsidR="00485B5F" w:rsidRPr="002A510F" w:rsidRDefault="00485B5F" w:rsidP="005443D8">
      <w:pPr>
        <w:spacing w:line="360" w:lineRule="auto"/>
        <w:jc w:val="both"/>
        <w:rPr>
          <w:rFonts w:ascii="Times New Roman" w:eastAsia="Book Antiqua" w:hAnsi="Times New Roman" w:cs="Times New Roman"/>
          <w:lang w:eastAsia="es-ES_tradnl"/>
        </w:rPr>
      </w:pPr>
      <w:r w:rsidRPr="002A510F">
        <w:rPr>
          <w:rFonts w:ascii="Times New Roman" w:eastAsia="Book Antiqua" w:hAnsi="Times New Roman" w:cs="Times New Roman"/>
          <w:lang w:eastAsia="es-ES_tradnl"/>
        </w:rPr>
        <w:t xml:space="preserve">Como destacan </w:t>
      </w:r>
      <w:proofErr w:type="spellStart"/>
      <w:r w:rsidRPr="002A510F">
        <w:rPr>
          <w:rFonts w:ascii="Times New Roman" w:eastAsia="Book Antiqua" w:hAnsi="Times New Roman" w:cs="Times New Roman"/>
          <w:smallCaps/>
          <w:lang w:eastAsia="es-ES_tradnl"/>
        </w:rPr>
        <w:t>Monahan</w:t>
      </w:r>
      <w:proofErr w:type="spellEnd"/>
      <w:r w:rsidRPr="002A510F">
        <w:rPr>
          <w:rFonts w:ascii="Times New Roman" w:eastAsia="Book Antiqua" w:hAnsi="Times New Roman" w:cs="Times New Roman"/>
          <w:lang w:eastAsia="es-ES_tradnl"/>
        </w:rPr>
        <w:t xml:space="preserve"> y </w:t>
      </w:r>
      <w:proofErr w:type="spellStart"/>
      <w:r w:rsidRPr="002A510F">
        <w:rPr>
          <w:rFonts w:ascii="Times New Roman" w:eastAsia="Book Antiqua" w:hAnsi="Times New Roman" w:cs="Times New Roman"/>
          <w:smallCaps/>
          <w:lang w:eastAsia="es-ES_tradnl"/>
        </w:rPr>
        <w:t>Skeem</w:t>
      </w:r>
      <w:proofErr w:type="spellEnd"/>
      <w:r w:rsidRPr="002A510F">
        <w:rPr>
          <w:rFonts w:ascii="Times New Roman" w:eastAsia="Book Antiqua" w:hAnsi="Times New Roman" w:cs="Times New Roman"/>
          <w:vertAlign w:val="superscript"/>
          <w:lang w:eastAsia="es-ES_tradnl"/>
        </w:rPr>
        <w:footnoteReference w:id="11"/>
      </w:r>
      <w:r w:rsidRPr="002A510F">
        <w:rPr>
          <w:rFonts w:ascii="Times New Roman" w:eastAsia="Book Antiqua" w:hAnsi="Times New Roman" w:cs="Times New Roman"/>
          <w:lang w:eastAsia="es-ES_tradnl"/>
        </w:rPr>
        <w:t xml:space="preserve"> el análisis de los factores de riesgo empleados en dichas herramientas sugiere que los instrumentos abarcan cuatro dimensiones fundamentales: antecedentes penales, estilo de vida irresponsable, psicopatía y actitudes delictivas, y problemas relacionados con el abuso de sustancias, cada una de las cuales sería igualmente predictiva de la reincidencia.</w:t>
      </w:r>
    </w:p>
    <w:p w14:paraId="625EDA02" w14:textId="5359DF85" w:rsidR="00733F9D" w:rsidRPr="002A510F" w:rsidRDefault="00485B5F" w:rsidP="00733F9D">
      <w:pPr>
        <w:spacing w:line="360" w:lineRule="auto"/>
        <w:jc w:val="both"/>
        <w:rPr>
          <w:rFonts w:ascii="Times New Roman" w:eastAsia="Book Antiqua" w:hAnsi="Times New Roman" w:cs="Times New Roman"/>
          <w:lang w:eastAsia="es-ES_tradnl"/>
        </w:rPr>
      </w:pPr>
      <w:r w:rsidRPr="002A510F">
        <w:rPr>
          <w:rFonts w:ascii="Times New Roman" w:eastAsia="Book Antiqua" w:hAnsi="Times New Roman" w:cs="Times New Roman"/>
          <w:lang w:eastAsia="es-ES_tradnl"/>
        </w:rPr>
        <w:t>En este sentido, una cuestión central a la hora de analizar la fiabilidad de las herramientas de predicción de la peligrosidad de base actuarial viene constituida por la forma de configuración de dichos instrumentos y cómo lo anterior redunda en el número de falsos positivos y falsos negativos generados. Para ello, debemos partir del hecho de que algunos de los algoritmos empleados por el sistema penal en EE.UU. pertenecen a compañías privadas con ánimo de lucro (tal es el caso del software COMPAS) quedando protegidos por el secreto industrial</w:t>
      </w:r>
      <w:r w:rsidRPr="002A510F">
        <w:rPr>
          <w:rFonts w:ascii="Times New Roman" w:eastAsia="Book Antiqua" w:hAnsi="Times New Roman" w:cs="Times New Roman"/>
          <w:vertAlign w:val="superscript"/>
          <w:lang w:eastAsia="es-ES_tradnl"/>
        </w:rPr>
        <w:footnoteReference w:id="12"/>
      </w:r>
      <w:r w:rsidRPr="002A510F">
        <w:rPr>
          <w:rFonts w:ascii="Times New Roman" w:eastAsia="Book Antiqua" w:hAnsi="Times New Roman" w:cs="Times New Roman"/>
          <w:lang w:eastAsia="es-ES_tradnl"/>
        </w:rPr>
        <w:t xml:space="preserve">. En consecuencia, el éxito comercial de dichos algoritmos se vincula fundamentalmente a la consecución de un número estadísticamente bajo de falsos negativos (máxime si la predicción de reincidencia se orienta a la delincuencia violenta o sexual) dada la visibilidad social e impacto mediático que dichos nuevos crímenes pueden ostentar con el consiguiente perjuicio económico para el desarrollador de la herramienta de predicción. Por el contrario, la posibilidad de impacto reputacional para la compañía derivado de los falsos positivos es realmente bajo, ya que el encarcelamiento o la </w:t>
      </w:r>
      <w:r w:rsidRPr="002A510F">
        <w:rPr>
          <w:rFonts w:ascii="Times New Roman" w:eastAsia="Book Antiqua" w:hAnsi="Times New Roman" w:cs="Times New Roman"/>
          <w:lang w:eastAsia="es-ES_tradnl"/>
        </w:rPr>
        <w:lastRenderedPageBreak/>
        <w:t xml:space="preserve">prolongación de la estancia en prisión de un individuo cuya peligrosidad criminal no resulta importante difícilmente será detectado. Por ello, no es descartable que se introduzcan por parte de los desarrolladores del algoritmo mecanismos </w:t>
      </w:r>
      <w:proofErr w:type="spellStart"/>
      <w:r w:rsidRPr="002A510F">
        <w:rPr>
          <w:rFonts w:ascii="Times New Roman" w:eastAsia="Book Antiqua" w:hAnsi="Times New Roman" w:cs="Times New Roman"/>
          <w:lang w:eastAsia="es-ES_tradnl"/>
        </w:rPr>
        <w:t>autocorrectores</w:t>
      </w:r>
      <w:proofErr w:type="spellEnd"/>
      <w:r w:rsidRPr="002A510F">
        <w:rPr>
          <w:rFonts w:ascii="Times New Roman" w:eastAsia="Book Antiqua" w:hAnsi="Times New Roman" w:cs="Times New Roman"/>
          <w:lang w:eastAsia="es-ES_tradnl"/>
        </w:rPr>
        <w:t xml:space="preserve"> que introduzcan el oportuno sesgo en el sentido indicado</w:t>
      </w:r>
      <w:r w:rsidRPr="002A510F">
        <w:rPr>
          <w:rFonts w:ascii="Times New Roman" w:eastAsia="Book Antiqua" w:hAnsi="Times New Roman" w:cs="Times New Roman"/>
          <w:vertAlign w:val="superscript"/>
          <w:lang w:eastAsia="es-ES_tradnl"/>
        </w:rPr>
        <w:footnoteReference w:id="13"/>
      </w:r>
      <w:r w:rsidRPr="002A510F">
        <w:rPr>
          <w:rFonts w:ascii="Times New Roman" w:eastAsia="Book Antiqua" w:hAnsi="Times New Roman" w:cs="Times New Roman"/>
          <w:lang w:eastAsia="es-ES_tradnl"/>
        </w:rPr>
        <w:t>.</w:t>
      </w:r>
      <w:bookmarkStart w:id="2" w:name="_Toc68521006"/>
    </w:p>
    <w:p w14:paraId="32A59538" w14:textId="3D414DD7" w:rsidR="00485B5F" w:rsidRPr="002A510F" w:rsidRDefault="00485B5F" w:rsidP="00FF0E6A">
      <w:pPr>
        <w:pStyle w:val="Prrafodelista"/>
        <w:numPr>
          <w:ilvl w:val="0"/>
          <w:numId w:val="2"/>
        </w:numPr>
        <w:spacing w:line="360" w:lineRule="auto"/>
        <w:jc w:val="both"/>
        <w:rPr>
          <w:rFonts w:ascii="Times New Roman" w:eastAsia="Book Antiqua" w:hAnsi="Times New Roman" w:cs="Times New Roman"/>
          <w:lang w:eastAsia="es-ES_tradnl"/>
        </w:rPr>
      </w:pPr>
      <w:r w:rsidRPr="002A510F">
        <w:rPr>
          <w:rFonts w:ascii="Times New Roman" w:eastAsia="Times New Roman" w:hAnsi="Times New Roman" w:cs="Times New Roman"/>
          <w:b/>
          <w:color w:val="000000"/>
          <w:szCs w:val="26"/>
          <w:lang w:val="es-ES_tradnl"/>
        </w:rPr>
        <w:t>La interpretación de los resultados de los instrumentos actuariales de evaluación del riesgo por parte de los operadores jurídicos</w:t>
      </w:r>
      <w:bookmarkEnd w:id="2"/>
    </w:p>
    <w:p w14:paraId="155A4C61" w14:textId="074676AA" w:rsidR="00485B5F" w:rsidRPr="002A510F" w:rsidRDefault="00485B5F" w:rsidP="005443D8">
      <w:pPr>
        <w:spacing w:line="360" w:lineRule="auto"/>
        <w:jc w:val="both"/>
        <w:rPr>
          <w:rFonts w:ascii="Times New Roman" w:eastAsia="Book Antiqua" w:hAnsi="Times New Roman" w:cs="Times New Roman"/>
          <w:lang w:eastAsia="es-ES_tradnl"/>
        </w:rPr>
      </w:pPr>
      <w:r w:rsidRPr="002A510F">
        <w:rPr>
          <w:rFonts w:ascii="Times New Roman" w:eastAsia="Book Antiqua" w:hAnsi="Times New Roman" w:cs="Times New Roman"/>
          <w:lang w:eastAsia="es-ES_tradnl"/>
        </w:rPr>
        <w:t>Una cuestión relevante en el ámbito analizado en este trabajo es la capacidad real del profano en técnicas actuariales para interpretar adecuadamente los resultados suministrados por las herramientas de evalua</w:t>
      </w:r>
      <w:bookmarkStart w:id="3" w:name="_GoBack"/>
      <w:bookmarkEnd w:id="3"/>
      <w:r w:rsidRPr="002A510F">
        <w:rPr>
          <w:rFonts w:ascii="Times New Roman" w:eastAsia="Book Antiqua" w:hAnsi="Times New Roman" w:cs="Times New Roman"/>
          <w:lang w:eastAsia="es-ES_tradnl"/>
        </w:rPr>
        <w:t>ción del riesgo de reincidencia</w:t>
      </w:r>
      <w:r w:rsidRPr="002A510F">
        <w:rPr>
          <w:rFonts w:ascii="Times New Roman" w:eastAsia="Book Antiqua" w:hAnsi="Times New Roman" w:cs="Times New Roman"/>
          <w:vertAlign w:val="superscript"/>
          <w:lang w:eastAsia="es-ES_tradnl"/>
        </w:rPr>
        <w:footnoteReference w:id="14"/>
      </w:r>
      <w:r w:rsidRPr="002A510F">
        <w:rPr>
          <w:rFonts w:ascii="Times New Roman" w:eastAsia="Book Antiqua" w:hAnsi="Times New Roman" w:cs="Times New Roman"/>
          <w:lang w:eastAsia="es-ES_tradnl"/>
        </w:rPr>
        <w:t xml:space="preserve">. Diferentes estudios empíricos en EE.UU. han puesto de manifiesto que la forma de comunicación de los resultados obtenidos de las herramientas actuariales a los jueces y miembros de los jurados puede condicionar en gran parte su comprensión de los mismos. </w:t>
      </w:r>
    </w:p>
    <w:p w14:paraId="22162939" w14:textId="353D788B" w:rsidR="00485B5F" w:rsidRPr="002A510F" w:rsidRDefault="00485B5F" w:rsidP="005443D8">
      <w:pPr>
        <w:spacing w:line="360" w:lineRule="auto"/>
        <w:jc w:val="both"/>
        <w:rPr>
          <w:rFonts w:ascii="Times New Roman" w:eastAsia="Book Antiqua" w:hAnsi="Times New Roman" w:cs="Times New Roman"/>
          <w:lang w:eastAsia="es-ES_tradnl"/>
        </w:rPr>
      </w:pPr>
      <w:r w:rsidRPr="002A510F">
        <w:rPr>
          <w:rFonts w:ascii="Times New Roman" w:eastAsia="Book Antiqua" w:hAnsi="Times New Roman" w:cs="Times New Roman"/>
          <w:lang w:eastAsia="es-ES_tradnl"/>
        </w:rPr>
        <w:t xml:space="preserve">Al dato anterior se añade que en numerosas ocasiones se aportan índices de fiabilidad de la herramienta actuarial en cuestión completamente extraños para el profano, tales como el Área Bajo la Curva (curva ROC, de su acrónimo en inglés </w:t>
      </w:r>
      <w:r w:rsidRPr="002A510F">
        <w:rPr>
          <w:rFonts w:ascii="Times New Roman" w:eastAsia="Book Antiqua" w:hAnsi="Times New Roman" w:cs="Times New Roman"/>
          <w:i/>
          <w:lang w:eastAsia="es-ES_tradnl"/>
        </w:rPr>
        <w:t xml:space="preserve">Receiver </w:t>
      </w:r>
      <w:proofErr w:type="spellStart"/>
      <w:r w:rsidRPr="002A510F">
        <w:rPr>
          <w:rFonts w:ascii="Times New Roman" w:eastAsia="Book Antiqua" w:hAnsi="Times New Roman" w:cs="Times New Roman"/>
          <w:i/>
          <w:lang w:eastAsia="es-ES_tradnl"/>
        </w:rPr>
        <w:t>Operating</w:t>
      </w:r>
      <w:proofErr w:type="spellEnd"/>
      <w:r w:rsidRPr="002A510F">
        <w:rPr>
          <w:rFonts w:ascii="Times New Roman" w:eastAsia="Book Antiqua" w:hAnsi="Times New Roman" w:cs="Times New Roman"/>
          <w:i/>
          <w:lang w:eastAsia="es-ES_tradnl"/>
        </w:rPr>
        <w:t xml:space="preserve"> </w:t>
      </w:r>
      <w:proofErr w:type="spellStart"/>
      <w:r w:rsidRPr="002A510F">
        <w:rPr>
          <w:rFonts w:ascii="Times New Roman" w:eastAsia="Book Antiqua" w:hAnsi="Times New Roman" w:cs="Times New Roman"/>
          <w:i/>
          <w:lang w:eastAsia="es-ES_tradnl"/>
        </w:rPr>
        <w:t>Characteristic</w:t>
      </w:r>
      <w:proofErr w:type="spellEnd"/>
      <w:r w:rsidRPr="002A510F">
        <w:rPr>
          <w:rFonts w:ascii="Times New Roman" w:eastAsia="Book Antiqua" w:hAnsi="Times New Roman" w:cs="Times New Roman"/>
          <w:lang w:eastAsia="es-ES_tradnl"/>
        </w:rPr>
        <w:t xml:space="preserve">). </w:t>
      </w:r>
      <w:r w:rsidR="005443D8" w:rsidRPr="002A510F">
        <w:rPr>
          <w:rFonts w:ascii="Times New Roman" w:eastAsia="Book Antiqua" w:hAnsi="Times New Roman" w:cs="Times New Roman"/>
          <w:lang w:eastAsia="es-ES_tradnl"/>
        </w:rPr>
        <w:t>Por otro lado,</w:t>
      </w:r>
      <w:r w:rsidRPr="002A510F">
        <w:rPr>
          <w:rFonts w:ascii="Times New Roman" w:eastAsia="Book Antiqua" w:hAnsi="Times New Roman" w:cs="Times New Roman"/>
          <w:lang w:eastAsia="es-ES_tradnl"/>
        </w:rPr>
        <w:t xml:space="preserve"> los estudios de validación de los distintos instrumentos de evaluación del riesgo suelen aportar resultados de parámetros como la sensibilidad o la especificidad de la herramienta, siendo que el valor relevante a efectos de la estimación a efectuar en el ámbito del sistema de justicia penal es fundamentalmente el valor predictivo. </w:t>
      </w:r>
    </w:p>
    <w:p w14:paraId="3518A919" w14:textId="01E3575A" w:rsidR="00733F9D" w:rsidRPr="002A510F" w:rsidRDefault="00485B5F" w:rsidP="00733F9D">
      <w:pPr>
        <w:spacing w:line="360" w:lineRule="auto"/>
        <w:jc w:val="both"/>
        <w:rPr>
          <w:rFonts w:ascii="Times New Roman" w:eastAsia="Book Antiqua" w:hAnsi="Times New Roman" w:cs="Times New Roman"/>
          <w:lang w:eastAsia="es-ES_tradnl"/>
        </w:rPr>
      </w:pPr>
      <w:r w:rsidRPr="002A510F">
        <w:rPr>
          <w:rFonts w:ascii="Times New Roman" w:eastAsia="Book Antiqua" w:hAnsi="Times New Roman" w:cs="Times New Roman"/>
          <w:lang w:eastAsia="es-ES_tradnl"/>
        </w:rPr>
        <w:t>Resulta evidente, en este caso, que únicamente personas con un alto grado de formación en estadística podrán discriminar adecuadamente dichos conceptos y que, en relación con los profanos en dicha disciplina científica (como lo son la casi totalidad</w:t>
      </w:r>
      <w:r w:rsidR="009E633D">
        <w:rPr>
          <w:rFonts w:ascii="Times New Roman" w:eastAsia="Book Antiqua" w:hAnsi="Times New Roman" w:cs="Times New Roman"/>
          <w:lang w:eastAsia="es-ES_tradnl"/>
        </w:rPr>
        <w:t xml:space="preserve"> de</w:t>
      </w:r>
      <w:r w:rsidRPr="002A510F">
        <w:rPr>
          <w:rFonts w:ascii="Times New Roman" w:eastAsia="Book Antiqua" w:hAnsi="Times New Roman" w:cs="Times New Roman"/>
          <w:lang w:eastAsia="es-ES_tradnl"/>
        </w:rPr>
        <w:t xml:space="preserve"> los distintos operadores jurídicos: miembros de un jurado, partes e incluso la mayoría de la judicatura) la forma de presentación de los propios resultados y de los estudios de validación de la herramienta de predicción del riesgo pueden distorsionar completamente el sentido atribuido al resultado presentado en el caso concreto. </w:t>
      </w:r>
      <w:bookmarkStart w:id="4" w:name="_Toc68521007"/>
    </w:p>
    <w:p w14:paraId="249AFE00" w14:textId="33D3F4E6" w:rsidR="00485B5F" w:rsidRPr="002A510F" w:rsidRDefault="00733F9D" w:rsidP="00FF0E6A">
      <w:pPr>
        <w:pStyle w:val="Prrafodelista"/>
        <w:numPr>
          <w:ilvl w:val="0"/>
          <w:numId w:val="2"/>
        </w:numPr>
        <w:spacing w:line="360" w:lineRule="auto"/>
        <w:jc w:val="both"/>
        <w:rPr>
          <w:rFonts w:ascii="Times New Roman" w:eastAsia="Book Antiqua" w:hAnsi="Times New Roman" w:cs="Times New Roman"/>
          <w:lang w:eastAsia="es-ES_tradnl"/>
        </w:rPr>
      </w:pPr>
      <w:r w:rsidRPr="002A510F">
        <w:rPr>
          <w:rFonts w:ascii="Times New Roman" w:eastAsia="Times New Roman" w:hAnsi="Times New Roman" w:cs="Times New Roman"/>
          <w:b/>
          <w:color w:val="000000"/>
          <w:szCs w:val="26"/>
          <w:lang w:val="es-ES_tradnl"/>
        </w:rPr>
        <w:t>H</w:t>
      </w:r>
      <w:r w:rsidR="00485B5F" w:rsidRPr="002A510F">
        <w:rPr>
          <w:rFonts w:ascii="Times New Roman" w:eastAsia="Times New Roman" w:hAnsi="Times New Roman" w:cs="Times New Roman"/>
          <w:b/>
          <w:color w:val="000000"/>
          <w:szCs w:val="26"/>
          <w:lang w:val="es-ES_tradnl"/>
        </w:rPr>
        <w:t>erramientas actuariales de evaluación del riesgo de violencia</w:t>
      </w:r>
      <w:bookmarkEnd w:id="4"/>
      <w:r w:rsidRPr="002A510F">
        <w:rPr>
          <w:rFonts w:ascii="Times New Roman" w:eastAsia="Times New Roman" w:hAnsi="Times New Roman" w:cs="Times New Roman"/>
          <w:b/>
          <w:color w:val="000000"/>
          <w:szCs w:val="26"/>
          <w:lang w:val="es-ES_tradnl"/>
        </w:rPr>
        <w:t xml:space="preserve"> y sesgo racial</w:t>
      </w:r>
    </w:p>
    <w:p w14:paraId="690F1D11" w14:textId="77777777" w:rsidR="00485B5F" w:rsidRPr="002A510F" w:rsidRDefault="00485B5F" w:rsidP="005443D8">
      <w:pPr>
        <w:spacing w:line="360" w:lineRule="auto"/>
        <w:jc w:val="both"/>
        <w:rPr>
          <w:rFonts w:ascii="Times New Roman" w:eastAsia="Book Antiqua" w:hAnsi="Times New Roman" w:cs="Times New Roman"/>
          <w:lang w:eastAsia="es-ES_tradnl"/>
        </w:rPr>
      </w:pPr>
      <w:r w:rsidRPr="002A510F">
        <w:rPr>
          <w:rFonts w:ascii="Times New Roman" w:eastAsia="Book Antiqua" w:hAnsi="Times New Roman" w:cs="Times New Roman"/>
          <w:lang w:eastAsia="es-ES_tradnl"/>
        </w:rPr>
        <w:t xml:space="preserve">Una de las cuestiones que han ocupado de manera más intensa a la doctrina estadounidense reside en la posibilidad de que dichos instrumentos estadísticos de </w:t>
      </w:r>
      <w:r w:rsidRPr="002A510F">
        <w:rPr>
          <w:rFonts w:ascii="Times New Roman" w:eastAsia="Book Antiqua" w:hAnsi="Times New Roman" w:cs="Times New Roman"/>
          <w:lang w:eastAsia="es-ES_tradnl"/>
        </w:rPr>
        <w:lastRenderedPageBreak/>
        <w:t>predicción de la reincidencia acaben produciendo un importante sesgo racial, sobrevalorando la peligrosidad de los miembros de las minorías étnicas</w:t>
      </w:r>
      <w:r w:rsidRPr="002A510F">
        <w:rPr>
          <w:rFonts w:ascii="Times New Roman" w:eastAsia="Book Antiqua" w:hAnsi="Times New Roman" w:cs="Times New Roman"/>
          <w:vertAlign w:val="superscript"/>
          <w:lang w:eastAsia="es-ES_tradnl"/>
        </w:rPr>
        <w:footnoteReference w:id="15"/>
      </w:r>
      <w:r w:rsidRPr="002A510F">
        <w:rPr>
          <w:rFonts w:ascii="Times New Roman" w:eastAsia="Book Antiqua" w:hAnsi="Times New Roman" w:cs="Times New Roman"/>
          <w:lang w:eastAsia="es-ES_tradnl"/>
        </w:rPr>
        <w:t xml:space="preserve">. </w:t>
      </w:r>
    </w:p>
    <w:p w14:paraId="2BC2CBAB" w14:textId="77777777" w:rsidR="00733F9D" w:rsidRPr="002A510F" w:rsidRDefault="00485B5F" w:rsidP="00733F9D">
      <w:pPr>
        <w:spacing w:line="360" w:lineRule="auto"/>
        <w:jc w:val="both"/>
        <w:rPr>
          <w:rFonts w:ascii="Times New Roman" w:eastAsia="Book Antiqua" w:hAnsi="Times New Roman" w:cs="Times New Roman"/>
          <w:lang w:eastAsia="es-ES_tradnl"/>
        </w:rPr>
      </w:pPr>
      <w:r w:rsidRPr="002A510F">
        <w:rPr>
          <w:rFonts w:ascii="Times New Roman" w:eastAsia="Book Antiqua" w:hAnsi="Times New Roman" w:cs="Times New Roman"/>
          <w:lang w:eastAsia="es-ES_tradnl"/>
        </w:rPr>
        <w:t>En este sentido, si bien en las actuales herramientas actuariales de evaluación del riesgo de violencia la raza no se incluye directamente como ítem o factor predictivo, resulta probable que existan otras variables en dichas herramientas que funcionen como sustitutivos indirectos de aquella, tales como el área de residencia del sujeto</w:t>
      </w:r>
      <w:r w:rsidRPr="002A510F">
        <w:rPr>
          <w:rFonts w:ascii="Times New Roman" w:eastAsia="Book Antiqua" w:hAnsi="Times New Roman" w:cs="Times New Roman"/>
          <w:vertAlign w:val="superscript"/>
          <w:lang w:eastAsia="es-ES_tradnl"/>
        </w:rPr>
        <w:footnoteReference w:id="16"/>
      </w:r>
      <w:r w:rsidRPr="002A510F">
        <w:rPr>
          <w:rFonts w:ascii="Times New Roman" w:eastAsia="Book Antiqua" w:hAnsi="Times New Roman" w:cs="Times New Roman"/>
          <w:lang w:eastAsia="es-ES_tradnl"/>
        </w:rPr>
        <w:t>, el nivel educativo o de empleo o el número de arrestos previos (a la vista del distinto grado de vigilancia policial y de la tasa diferencial de arrestos producidos en relación con las minorías étnicas)</w:t>
      </w:r>
      <w:r w:rsidRPr="002A510F">
        <w:rPr>
          <w:rFonts w:ascii="Times New Roman" w:eastAsia="Book Antiqua" w:hAnsi="Times New Roman" w:cs="Times New Roman"/>
          <w:vertAlign w:val="superscript"/>
          <w:lang w:eastAsia="es-ES_tradnl"/>
        </w:rPr>
        <w:footnoteReference w:id="17"/>
      </w:r>
      <w:r w:rsidRPr="002A510F">
        <w:rPr>
          <w:rFonts w:ascii="Times New Roman" w:eastAsia="Book Antiqua" w:hAnsi="Times New Roman" w:cs="Times New Roman"/>
          <w:lang w:eastAsia="es-ES_tradnl"/>
        </w:rPr>
        <w:t xml:space="preserve">. Es decir, sin necesidad de incluir directamente la raza como factor de riesgo otros ítems en la herramienta acaban correlacionando con la raza de una manera estadísticamente significativa. </w:t>
      </w:r>
      <w:bookmarkStart w:id="5" w:name="_Toc68521008"/>
    </w:p>
    <w:p w14:paraId="149DAD94" w14:textId="49F20188" w:rsidR="00485B5F" w:rsidRPr="002A510F" w:rsidRDefault="00485B5F" w:rsidP="00FF0E6A">
      <w:pPr>
        <w:pStyle w:val="Prrafodelista"/>
        <w:numPr>
          <w:ilvl w:val="0"/>
          <w:numId w:val="2"/>
        </w:numPr>
        <w:spacing w:line="360" w:lineRule="auto"/>
        <w:jc w:val="both"/>
        <w:rPr>
          <w:rFonts w:ascii="Times New Roman" w:eastAsia="Book Antiqua" w:hAnsi="Times New Roman" w:cs="Times New Roman"/>
          <w:lang w:eastAsia="es-ES_tradnl"/>
        </w:rPr>
      </w:pPr>
      <w:r w:rsidRPr="002A510F">
        <w:rPr>
          <w:rFonts w:ascii="Times New Roman" w:eastAsia="Times New Roman" w:hAnsi="Times New Roman" w:cs="Times New Roman"/>
          <w:b/>
          <w:color w:val="000000"/>
          <w:szCs w:val="26"/>
          <w:lang w:val="es-ES_tradnl"/>
        </w:rPr>
        <w:t>Inferencia Grupo a Individuo (G2i)</w:t>
      </w:r>
      <w:bookmarkEnd w:id="5"/>
      <w:r w:rsidRPr="002A510F">
        <w:rPr>
          <w:rFonts w:ascii="Times New Roman" w:eastAsia="Times New Roman" w:hAnsi="Times New Roman" w:cs="Times New Roman"/>
          <w:b/>
          <w:color w:val="000000"/>
          <w:szCs w:val="26"/>
          <w:lang w:val="es-ES_tradnl"/>
        </w:rPr>
        <w:t xml:space="preserve"> </w:t>
      </w:r>
    </w:p>
    <w:p w14:paraId="5A7AA3FE" w14:textId="77777777" w:rsidR="00733F9D" w:rsidRPr="002A510F" w:rsidRDefault="00485B5F" w:rsidP="00733F9D">
      <w:pPr>
        <w:spacing w:line="360" w:lineRule="auto"/>
        <w:jc w:val="both"/>
        <w:rPr>
          <w:rFonts w:ascii="Times New Roman" w:eastAsia="Book Antiqua" w:hAnsi="Times New Roman" w:cs="Times New Roman"/>
          <w:lang w:eastAsia="es-ES_tradnl"/>
        </w:rPr>
      </w:pPr>
      <w:r w:rsidRPr="002A510F">
        <w:rPr>
          <w:rFonts w:ascii="Times New Roman" w:eastAsia="Book Antiqua" w:hAnsi="Times New Roman" w:cs="Times New Roman"/>
          <w:lang w:eastAsia="es-ES_tradnl"/>
        </w:rPr>
        <w:t xml:space="preserve">Uno de los grandes problemas que plantea el empleo de instrumentos actuariales de evaluación del riesgo de violencia en el ámbito de la sentencia viene determinado por lo que se conoce como Inferencia Grupo a Individuo (G2i de su acrónimo inglés </w:t>
      </w:r>
      <w:proofErr w:type="spellStart"/>
      <w:r w:rsidRPr="002A510F">
        <w:rPr>
          <w:rFonts w:ascii="Times New Roman" w:eastAsia="Book Antiqua" w:hAnsi="Times New Roman" w:cs="Times New Roman"/>
          <w:i/>
          <w:lang w:eastAsia="es-ES_tradnl"/>
        </w:rPr>
        <w:t>Group</w:t>
      </w:r>
      <w:proofErr w:type="spellEnd"/>
      <w:r w:rsidRPr="002A510F">
        <w:rPr>
          <w:rFonts w:ascii="Times New Roman" w:eastAsia="Book Antiqua" w:hAnsi="Times New Roman" w:cs="Times New Roman"/>
          <w:i/>
          <w:lang w:eastAsia="es-ES_tradnl"/>
        </w:rPr>
        <w:t xml:space="preserve"> To Individual </w:t>
      </w:r>
      <w:proofErr w:type="spellStart"/>
      <w:r w:rsidRPr="002A510F">
        <w:rPr>
          <w:rFonts w:ascii="Times New Roman" w:eastAsia="Book Antiqua" w:hAnsi="Times New Roman" w:cs="Times New Roman"/>
          <w:i/>
          <w:lang w:eastAsia="es-ES_tradnl"/>
        </w:rPr>
        <w:t>Inference</w:t>
      </w:r>
      <w:proofErr w:type="spellEnd"/>
      <w:r w:rsidRPr="002A510F">
        <w:rPr>
          <w:rFonts w:ascii="Times New Roman" w:eastAsia="Book Antiqua" w:hAnsi="Times New Roman" w:cs="Times New Roman"/>
          <w:lang w:eastAsia="es-ES_tradnl"/>
        </w:rPr>
        <w:t>). Procede poner de manifiesto que el empleo de los distintos instrumentos estadísticos de evaluación del riesgo se funda en un proceso de inferencia, es decir, partiendo de datos extraídos a nivel grupal (diseño a nivel agregado) se obtienen conclusiones que se aplican al concreto individuo sobre el que se lleva a cabo el juicio de peligrosidad criminal sobre la base de la presencia en este último de una serie de factores de riesgo o ítems que en el plano grupal han demostrado correlacionar con altas tasas delictivas. Con ello se produce un salto argumental fundamental, pues pasamos de la causalidad como eje de la aproximación metodológica (concepción clásica en la esfera penal) a tratar de determinar una correlación, es decir, el grado de relación entre dos variables</w:t>
      </w:r>
      <w:r w:rsidRPr="002A510F">
        <w:rPr>
          <w:rFonts w:ascii="Times New Roman" w:eastAsia="Book Antiqua" w:hAnsi="Times New Roman" w:cs="Times New Roman"/>
          <w:vertAlign w:val="superscript"/>
          <w:lang w:eastAsia="es-ES_tradnl"/>
        </w:rPr>
        <w:footnoteReference w:id="18"/>
      </w:r>
      <w:r w:rsidRPr="002A510F">
        <w:rPr>
          <w:rFonts w:ascii="Times New Roman" w:eastAsia="Book Antiqua" w:hAnsi="Times New Roman" w:cs="Times New Roman"/>
          <w:lang w:eastAsia="es-ES_tradnl"/>
        </w:rPr>
        <w:t xml:space="preserve">. </w:t>
      </w:r>
      <w:bookmarkStart w:id="6" w:name="_Toc68521009"/>
    </w:p>
    <w:p w14:paraId="12FF20EC" w14:textId="702B3EAC" w:rsidR="00485B5F" w:rsidRPr="002A510F" w:rsidRDefault="00485B5F" w:rsidP="00FF0E6A">
      <w:pPr>
        <w:pStyle w:val="Prrafodelista"/>
        <w:numPr>
          <w:ilvl w:val="0"/>
          <w:numId w:val="2"/>
        </w:numPr>
        <w:spacing w:line="360" w:lineRule="auto"/>
        <w:jc w:val="both"/>
        <w:rPr>
          <w:rFonts w:ascii="Times New Roman" w:eastAsia="Book Antiqua" w:hAnsi="Times New Roman" w:cs="Times New Roman"/>
          <w:lang w:eastAsia="es-ES_tradnl"/>
        </w:rPr>
      </w:pPr>
      <w:r w:rsidRPr="002A510F">
        <w:rPr>
          <w:rFonts w:ascii="Times New Roman" w:eastAsia="Times New Roman" w:hAnsi="Times New Roman" w:cs="Times New Roman"/>
          <w:b/>
          <w:color w:val="000000"/>
          <w:szCs w:val="26"/>
          <w:lang w:val="es-ES_tradnl"/>
        </w:rPr>
        <w:t xml:space="preserve">Sesgos cognitivos en la toma de decisiones en materia de reincidencia. </w:t>
      </w:r>
      <w:bookmarkEnd w:id="6"/>
    </w:p>
    <w:p w14:paraId="43D02CFA" w14:textId="240FC681" w:rsidR="00485B5F" w:rsidRPr="002A510F" w:rsidRDefault="00485B5F" w:rsidP="005443D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Book Antiqua" w:hAnsi="Times New Roman" w:cs="Times New Roman"/>
          <w:color w:val="000000"/>
          <w:lang w:eastAsia="es-ES_tradnl"/>
        </w:rPr>
      </w:pPr>
      <w:r w:rsidRPr="002A510F">
        <w:rPr>
          <w:rFonts w:ascii="Times New Roman" w:eastAsia="Book Antiqua" w:hAnsi="Times New Roman" w:cs="Times New Roman"/>
          <w:color w:val="000000"/>
          <w:lang w:eastAsia="es-ES_tradnl"/>
        </w:rPr>
        <w:lastRenderedPageBreak/>
        <w:t xml:space="preserve">Resulta procedente poner de manifiesto la presencia de diferentes sesgos cognitivos que pueden afectar a un operador jurídico (juez, responsables del tratamiento penitenciario, etc.) a la hora de adoptar decisiones sobre un individuo concreto con base en los resultados suministrados por un instrumento actuarial de evaluación del riesgo, particularmente cuando se incorpora la inteligencia artificial y el </w:t>
      </w:r>
      <w:r w:rsidRPr="002A510F">
        <w:rPr>
          <w:rFonts w:ascii="Times New Roman" w:eastAsia="Book Antiqua" w:hAnsi="Times New Roman" w:cs="Times New Roman"/>
          <w:i/>
          <w:color w:val="000000"/>
          <w:lang w:eastAsia="es-ES_tradnl"/>
        </w:rPr>
        <w:t xml:space="preserve">machine </w:t>
      </w:r>
      <w:proofErr w:type="spellStart"/>
      <w:r w:rsidRPr="002A510F">
        <w:rPr>
          <w:rFonts w:ascii="Times New Roman" w:eastAsia="Book Antiqua" w:hAnsi="Times New Roman" w:cs="Times New Roman"/>
          <w:i/>
          <w:color w:val="000000"/>
          <w:lang w:eastAsia="es-ES_tradnl"/>
        </w:rPr>
        <w:t>learning</w:t>
      </w:r>
      <w:proofErr w:type="spellEnd"/>
      <w:r w:rsidRPr="002A510F">
        <w:rPr>
          <w:rFonts w:ascii="Times New Roman" w:eastAsia="Book Antiqua" w:hAnsi="Times New Roman" w:cs="Times New Roman"/>
          <w:color w:val="000000"/>
          <w:lang w:eastAsia="es-ES_tradnl"/>
        </w:rPr>
        <w:t xml:space="preserve"> a dichos procesos (destacadamente, tal sería el caso del algoritmo COMPAS empleado en numerosas jurisdicciones penales en EE.UU.). De todos ellos, el que mayor impacto tiene en la decisión final es, probablemente el sesgo de automatización. Dicho sesgo consiste en la tendencia a atribuir mayor poder y autoridad a las ayudas automatizadas que a otras fuentes de asesoramiento. Como pone de manifiesto </w:t>
      </w:r>
      <w:proofErr w:type="spellStart"/>
      <w:r w:rsidRPr="002A510F">
        <w:rPr>
          <w:rFonts w:ascii="Times New Roman" w:eastAsia="Book Antiqua" w:hAnsi="Times New Roman" w:cs="Times New Roman"/>
          <w:smallCaps/>
          <w:color w:val="000000"/>
          <w:lang w:eastAsia="es-ES_tradnl"/>
        </w:rPr>
        <w:t>Wisser</w:t>
      </w:r>
      <w:proofErr w:type="spellEnd"/>
      <w:r w:rsidRPr="002A510F">
        <w:rPr>
          <w:rFonts w:ascii="Times New Roman" w:eastAsia="Book Antiqua" w:hAnsi="Times New Roman" w:cs="Times New Roman"/>
          <w:color w:val="000000"/>
          <w:vertAlign w:val="superscript"/>
          <w:lang w:eastAsia="es-ES_tradnl"/>
        </w:rPr>
        <w:footnoteReference w:id="19"/>
      </w:r>
      <w:r w:rsidRPr="002A510F">
        <w:rPr>
          <w:rFonts w:ascii="Times New Roman" w:eastAsia="Book Antiqua" w:hAnsi="Times New Roman" w:cs="Times New Roman"/>
          <w:color w:val="000000"/>
          <w:lang w:eastAsia="es-ES_tradnl"/>
        </w:rPr>
        <w:t xml:space="preserve"> resulta probable que los jueces asuman que los métodos cuantitativos son superiores al razonamiento verbal ordinario</w:t>
      </w:r>
      <w:r w:rsidRPr="002A510F">
        <w:rPr>
          <w:rFonts w:ascii="Times New Roman" w:eastAsia="Book Antiqua" w:hAnsi="Times New Roman" w:cs="Times New Roman"/>
          <w:color w:val="000000"/>
          <w:vertAlign w:val="superscript"/>
          <w:lang w:eastAsia="es-ES_tradnl"/>
        </w:rPr>
        <w:footnoteReference w:id="20"/>
      </w:r>
      <w:r w:rsidRPr="002A510F">
        <w:rPr>
          <w:rFonts w:ascii="Times New Roman" w:eastAsia="Book Antiqua" w:hAnsi="Times New Roman" w:cs="Times New Roman"/>
          <w:color w:val="000000"/>
          <w:lang w:eastAsia="es-ES_tradnl"/>
        </w:rPr>
        <w:t xml:space="preserve">, lo que puede fácilmente mutar una sugerencia tecnológica en una decisión final dotada de autoridad. </w:t>
      </w:r>
    </w:p>
    <w:p w14:paraId="245A5667" w14:textId="2F9B4D3B" w:rsidR="00485B5F" w:rsidRPr="002A510F" w:rsidRDefault="00485B5F" w:rsidP="005443D8">
      <w:pPr>
        <w:spacing w:line="360" w:lineRule="auto"/>
        <w:jc w:val="both"/>
        <w:rPr>
          <w:rFonts w:ascii="Times New Roman" w:eastAsia="Book Antiqua" w:hAnsi="Times New Roman" w:cs="Times New Roman"/>
          <w:lang w:eastAsia="es-ES_tradnl"/>
        </w:rPr>
      </w:pPr>
      <w:r w:rsidRPr="002A510F">
        <w:rPr>
          <w:rFonts w:ascii="Times New Roman" w:eastAsia="Book Antiqua" w:hAnsi="Times New Roman" w:cs="Times New Roman"/>
          <w:lang w:eastAsia="es-ES_tradnl"/>
        </w:rPr>
        <w:t xml:space="preserve">No obstante, el sesgo de automatización, siendo el más relevante, no constituye el único sesgo susceptible de concurrir en la toma de decisiones por parte de operadores jurídicos que actúan con apoyo de algoritmos de predicción del riesgo de violencia. Otros sesgos cognitivos sirven para afianzar aún más el papel de dichos instrumentos estadísticos en la determinación del contenido de la sentencia. En este sentido, diferentes autores ponen de manifiesto el peso que en dicho ámbito puede ostentar el sesgo de confirmación -entendido como la tendencia a buscar información que valide una noción preconcebida mientras se rechaza otra información de signo contrario- que puede llevar a los jueces a ignorar otros factores en un Informe de Investigación Previo a la </w:t>
      </w:r>
      <w:r w:rsidR="00837A85" w:rsidRPr="002A510F">
        <w:rPr>
          <w:rFonts w:ascii="Times New Roman" w:eastAsia="Book Antiqua" w:hAnsi="Times New Roman" w:cs="Times New Roman"/>
          <w:lang w:eastAsia="es-ES_tradnl"/>
        </w:rPr>
        <w:t>Sentencia</w:t>
      </w:r>
      <w:r w:rsidRPr="002A510F">
        <w:rPr>
          <w:rFonts w:ascii="Times New Roman" w:eastAsia="Book Antiqua" w:hAnsi="Times New Roman" w:cs="Times New Roman"/>
          <w:lang w:eastAsia="es-ES_tradnl"/>
        </w:rPr>
        <w:t xml:space="preserve"> que contrarrestan una puntuación de riesgo elevada. Asimismo, se menciona la posible incidencia del denominado sesgo de punto ciego o tendencia de las personas a verse a sí mismas como menos susceptibles al sesgo que los demás, lo que puede hacer que los jueces subestimen el grado en que sus decisiones de sentencia están siendo realmente influidas por la propia herramienta actuarial. Como resultado, no solo es probable que se violen los derechos al debido proceso de los acusados al dictar sentencia cuando dichos instrumentos estadísticos de predicción de la reincidencia se encuentran involucrados, </w:t>
      </w:r>
      <w:r w:rsidRPr="002A510F">
        <w:rPr>
          <w:rFonts w:ascii="Times New Roman" w:eastAsia="Book Antiqua" w:hAnsi="Times New Roman" w:cs="Times New Roman"/>
          <w:lang w:eastAsia="es-ES_tradnl"/>
        </w:rPr>
        <w:lastRenderedPageBreak/>
        <w:t>sino que también es probable que los jueces que dictan sentencia actúen, sin darse cuenta, como facilitadores de prejuicios raciales como resultado de esta dependencia excesiva</w:t>
      </w:r>
      <w:r w:rsidRPr="002A510F">
        <w:rPr>
          <w:rFonts w:ascii="Times New Roman" w:eastAsia="Book Antiqua" w:hAnsi="Times New Roman" w:cs="Times New Roman"/>
          <w:vertAlign w:val="superscript"/>
          <w:lang w:eastAsia="es-ES_tradnl"/>
        </w:rPr>
        <w:footnoteReference w:id="21"/>
      </w:r>
      <w:r w:rsidRPr="002A510F">
        <w:rPr>
          <w:rFonts w:ascii="Times New Roman" w:eastAsia="Book Antiqua" w:hAnsi="Times New Roman" w:cs="Times New Roman"/>
          <w:lang w:eastAsia="es-ES_tradnl"/>
        </w:rPr>
        <w:t xml:space="preserve">. </w:t>
      </w:r>
    </w:p>
    <w:p w14:paraId="5748C6D9" w14:textId="77777777" w:rsidR="00485B5F" w:rsidRPr="002A510F" w:rsidRDefault="00485B5F" w:rsidP="005443D8">
      <w:pPr>
        <w:spacing w:line="360" w:lineRule="auto"/>
        <w:jc w:val="both"/>
        <w:rPr>
          <w:rFonts w:ascii="Times New Roman" w:hAnsi="Times New Roman" w:cs="Times New Roman"/>
        </w:rPr>
      </w:pPr>
    </w:p>
    <w:p w14:paraId="3D3FC29D" w14:textId="3778A99E" w:rsidR="00F80416" w:rsidRPr="002A510F" w:rsidRDefault="00FF0E6A" w:rsidP="00FF0E6A">
      <w:pPr>
        <w:pStyle w:val="Prrafodelista"/>
        <w:numPr>
          <w:ilvl w:val="0"/>
          <w:numId w:val="1"/>
        </w:numPr>
        <w:spacing w:line="360" w:lineRule="auto"/>
        <w:jc w:val="both"/>
        <w:rPr>
          <w:rFonts w:ascii="Times New Roman" w:hAnsi="Times New Roman" w:cs="Times New Roman"/>
          <w:b/>
          <w:i/>
        </w:rPr>
      </w:pPr>
      <w:r w:rsidRPr="002A510F">
        <w:rPr>
          <w:rFonts w:ascii="Times New Roman" w:hAnsi="Times New Roman" w:cs="Times New Roman"/>
          <w:b/>
          <w:i/>
        </w:rPr>
        <w:t>HACIA UN MARCO NORMATIVO EUROPEO EN MATERIA DE</w:t>
      </w:r>
      <w:r w:rsidR="000A0ED3">
        <w:rPr>
          <w:rFonts w:ascii="Times New Roman" w:hAnsi="Times New Roman" w:cs="Times New Roman"/>
          <w:b/>
          <w:i/>
        </w:rPr>
        <w:t xml:space="preserve"> INTELIGENCIA ARTIFICIAL</w:t>
      </w:r>
      <w:r w:rsidRPr="002A510F">
        <w:rPr>
          <w:rFonts w:ascii="Times New Roman" w:hAnsi="Times New Roman" w:cs="Times New Roman"/>
          <w:b/>
          <w:i/>
        </w:rPr>
        <w:t xml:space="preserve"> </w:t>
      </w:r>
      <w:r w:rsidR="000A0ED3">
        <w:rPr>
          <w:rFonts w:ascii="Times New Roman" w:hAnsi="Times New Roman" w:cs="Times New Roman"/>
          <w:b/>
          <w:i/>
        </w:rPr>
        <w:t>(</w:t>
      </w:r>
      <w:r w:rsidRPr="002A510F">
        <w:rPr>
          <w:rFonts w:ascii="Times New Roman" w:hAnsi="Times New Roman" w:cs="Times New Roman"/>
          <w:b/>
          <w:i/>
        </w:rPr>
        <w:t>IA</w:t>
      </w:r>
      <w:r w:rsidR="000A0ED3">
        <w:rPr>
          <w:rFonts w:ascii="Times New Roman" w:hAnsi="Times New Roman" w:cs="Times New Roman"/>
          <w:b/>
          <w:i/>
        </w:rPr>
        <w:t>)</w:t>
      </w:r>
      <w:r w:rsidRPr="002A510F">
        <w:rPr>
          <w:rFonts w:ascii="Times New Roman" w:hAnsi="Times New Roman" w:cs="Times New Roman"/>
          <w:b/>
          <w:i/>
        </w:rPr>
        <w:t>. IMPLICACIONES PARA EL DERECHO PENAL</w:t>
      </w:r>
    </w:p>
    <w:p w14:paraId="0FD83D44" w14:textId="75B324B4" w:rsidR="00F80416" w:rsidRPr="002A510F" w:rsidRDefault="00F80416" w:rsidP="005443D8">
      <w:pPr>
        <w:spacing w:line="360" w:lineRule="auto"/>
        <w:jc w:val="both"/>
        <w:rPr>
          <w:rFonts w:ascii="Times New Roman" w:hAnsi="Times New Roman" w:cs="Times New Roman"/>
        </w:rPr>
      </w:pPr>
    </w:p>
    <w:p w14:paraId="3B11934C" w14:textId="4A73D453" w:rsidR="00F80416" w:rsidRPr="002A510F" w:rsidRDefault="00F80416" w:rsidP="005443D8">
      <w:pPr>
        <w:spacing w:line="360" w:lineRule="auto"/>
        <w:jc w:val="both"/>
        <w:rPr>
          <w:rFonts w:ascii="Times New Roman" w:hAnsi="Times New Roman" w:cs="Times New Roman"/>
        </w:rPr>
      </w:pPr>
      <w:r w:rsidRPr="002A510F">
        <w:rPr>
          <w:rFonts w:ascii="Times New Roman" w:hAnsi="Times New Roman" w:cs="Times New Roman"/>
        </w:rPr>
        <w:t xml:space="preserve">En los últimos años, las instituciones europeas han adquirido plena conciencia del impacto de las aplicaciones basadas en la IA en los derechos y libertades fundamentales de los ciudadanos. Dicha incidencia resulta particularmente importante cuando </w:t>
      </w:r>
      <w:r w:rsidR="003228E7" w:rsidRPr="002A510F">
        <w:rPr>
          <w:rFonts w:ascii="Times New Roman" w:hAnsi="Times New Roman" w:cs="Times New Roman"/>
        </w:rPr>
        <w:t>los citados</w:t>
      </w:r>
      <w:r w:rsidRPr="002A510F">
        <w:rPr>
          <w:rFonts w:ascii="Times New Roman" w:hAnsi="Times New Roman" w:cs="Times New Roman"/>
        </w:rPr>
        <w:t xml:space="preserve"> algoritmos ostentan una proyección en la esfera del derecho penal y procesal penal, por lo que</w:t>
      </w:r>
      <w:r w:rsidR="00003D9A" w:rsidRPr="002A510F">
        <w:rPr>
          <w:rFonts w:ascii="Times New Roman" w:hAnsi="Times New Roman" w:cs="Times New Roman"/>
        </w:rPr>
        <w:t>, en aras a hacer frente a los peligros que pueden derivarse de la proliferación de las mencionadas tecnologías en los referidos ámbitos, comienza a diseñarse un futuro marco normativo europeo que haga frente a los riesgos</w:t>
      </w:r>
      <w:r w:rsidR="00601803" w:rsidRPr="002A510F">
        <w:rPr>
          <w:rFonts w:ascii="Times New Roman" w:hAnsi="Times New Roman" w:cs="Times New Roman"/>
        </w:rPr>
        <w:t xml:space="preserve"> antedichos</w:t>
      </w:r>
      <w:r w:rsidR="00003D9A" w:rsidRPr="002A510F">
        <w:rPr>
          <w:rFonts w:ascii="Times New Roman" w:hAnsi="Times New Roman" w:cs="Times New Roman"/>
        </w:rPr>
        <w:t>.</w:t>
      </w:r>
      <w:r w:rsidR="00724228" w:rsidRPr="002A510F">
        <w:rPr>
          <w:rFonts w:ascii="Times New Roman" w:hAnsi="Times New Roman" w:cs="Times New Roman"/>
        </w:rPr>
        <w:t xml:space="preserve"> Por otro lado, y con el fin de contextualizar las reflexiones contenidas en el presente apartado en el objeto de nuestro trabajo, procede poner de manifiesto que gran parte de los instrumentos de evaluación del riesgo de violencia-reincidencia existentes en la esfera penal en la actualidad utilizan tecnología fundada en la I</w:t>
      </w:r>
      <w:r w:rsidR="003228E7" w:rsidRPr="002A510F">
        <w:rPr>
          <w:rFonts w:ascii="Times New Roman" w:hAnsi="Times New Roman" w:cs="Times New Roman"/>
        </w:rPr>
        <w:t>A</w:t>
      </w:r>
      <w:r w:rsidR="00724228" w:rsidRPr="002A510F">
        <w:rPr>
          <w:rFonts w:ascii="Times New Roman" w:hAnsi="Times New Roman" w:cs="Times New Roman"/>
        </w:rPr>
        <w:t>, lo que obliga a una toma en consideración específica de la problemática que ello genera.</w:t>
      </w:r>
    </w:p>
    <w:p w14:paraId="6FFBDA4C" w14:textId="32BB22C8" w:rsidR="00D628D5" w:rsidRPr="002A510F" w:rsidRDefault="004A238B" w:rsidP="005443D8">
      <w:pPr>
        <w:spacing w:line="360" w:lineRule="auto"/>
        <w:jc w:val="both"/>
        <w:rPr>
          <w:rFonts w:ascii="Times New Roman" w:hAnsi="Times New Roman" w:cs="Times New Roman"/>
        </w:rPr>
      </w:pPr>
      <w:r w:rsidRPr="002A510F">
        <w:rPr>
          <w:rFonts w:ascii="Times New Roman" w:hAnsi="Times New Roman" w:cs="Times New Roman"/>
        </w:rPr>
        <w:t>En este sentido, particular relevancia ostenta</w:t>
      </w:r>
      <w:r w:rsidR="00A379DA" w:rsidRPr="002A510F">
        <w:rPr>
          <w:rFonts w:ascii="Times New Roman" w:hAnsi="Times New Roman" w:cs="Times New Roman"/>
        </w:rPr>
        <w:t>n una serie de textos</w:t>
      </w:r>
      <w:r w:rsidR="00724228" w:rsidRPr="002A510F">
        <w:rPr>
          <w:rFonts w:ascii="Times New Roman" w:hAnsi="Times New Roman" w:cs="Times New Roman"/>
        </w:rPr>
        <w:t xml:space="preserve"> sobre el particular</w:t>
      </w:r>
      <w:r w:rsidR="00A379DA" w:rsidRPr="002A510F">
        <w:rPr>
          <w:rFonts w:ascii="Times New Roman" w:hAnsi="Times New Roman" w:cs="Times New Roman"/>
        </w:rPr>
        <w:t xml:space="preserve"> surgidos de las instituciones de la UE</w:t>
      </w:r>
      <w:r w:rsidR="00F02D25" w:rsidRPr="002A510F">
        <w:rPr>
          <w:rFonts w:ascii="Times New Roman" w:hAnsi="Times New Roman" w:cs="Times New Roman"/>
        </w:rPr>
        <w:t>.</w:t>
      </w:r>
      <w:r w:rsidR="00A379DA" w:rsidRPr="002A510F">
        <w:rPr>
          <w:rFonts w:ascii="Times New Roman" w:hAnsi="Times New Roman" w:cs="Times New Roman"/>
        </w:rPr>
        <w:t xml:space="preserve"> </w:t>
      </w:r>
      <w:r w:rsidR="00F02D25" w:rsidRPr="002A510F">
        <w:rPr>
          <w:rFonts w:ascii="Times New Roman" w:hAnsi="Times New Roman" w:cs="Times New Roman"/>
        </w:rPr>
        <w:t>A</w:t>
      </w:r>
      <w:r w:rsidR="00A379DA" w:rsidRPr="002A510F">
        <w:rPr>
          <w:rFonts w:ascii="Times New Roman" w:hAnsi="Times New Roman" w:cs="Times New Roman"/>
        </w:rPr>
        <w:t xml:space="preserve"> nuestros efectos, especial consideración merecen</w:t>
      </w:r>
      <w:r w:rsidRPr="002A510F">
        <w:rPr>
          <w:rFonts w:ascii="Times New Roman" w:hAnsi="Times New Roman" w:cs="Times New Roman"/>
        </w:rPr>
        <w:t xml:space="preserve"> la </w:t>
      </w:r>
      <w:r w:rsidR="00D628D5" w:rsidRPr="002A510F">
        <w:rPr>
          <w:rFonts w:ascii="Times New Roman" w:hAnsi="Times New Roman" w:cs="Times New Roman"/>
        </w:rPr>
        <w:t>Resolución del Parlamento Europeo sobre la IA en el Derecho Penal y su utilización por las autoridades policiales y judiciales en asuntos penales (6 de octubre de 2021)</w:t>
      </w:r>
      <w:r w:rsidR="00C72748" w:rsidRPr="002A510F">
        <w:rPr>
          <w:rStyle w:val="Refdenotaalpie"/>
          <w:rFonts w:ascii="Times New Roman" w:hAnsi="Times New Roman" w:cs="Times New Roman"/>
        </w:rPr>
        <w:footnoteReference w:id="22"/>
      </w:r>
      <w:r w:rsidR="00C72748" w:rsidRPr="002A510F">
        <w:rPr>
          <w:rFonts w:ascii="Times New Roman" w:hAnsi="Times New Roman" w:cs="Times New Roman"/>
        </w:rPr>
        <w:t xml:space="preserve"> y, sobre todo, dada su vocación de convertirse en el marco normativo de referencia en toda la UE en materia de IA, la Propuesta de </w:t>
      </w:r>
      <w:r w:rsidR="00C72748" w:rsidRPr="002A510F">
        <w:rPr>
          <w:rFonts w:ascii="Times New Roman" w:hAnsi="Times New Roman" w:cs="Times New Roman"/>
          <w:bCs/>
        </w:rPr>
        <w:t>Reglamento del Parlamento Europeo y del Consejo</w:t>
      </w:r>
      <w:r w:rsidR="00C72748" w:rsidRPr="002A510F">
        <w:rPr>
          <w:rFonts w:ascii="Times New Roman" w:hAnsi="Times New Roman" w:cs="Times New Roman"/>
        </w:rPr>
        <w:t xml:space="preserve"> </w:t>
      </w:r>
      <w:r w:rsidR="00C72748" w:rsidRPr="002A510F">
        <w:rPr>
          <w:rFonts w:ascii="Times New Roman" w:hAnsi="Times New Roman" w:cs="Times New Roman"/>
          <w:bCs/>
        </w:rPr>
        <w:t xml:space="preserve">por el que se establecen normas armonizadas en materia de inteligencia artificial (Ley de </w:t>
      </w:r>
      <w:r w:rsidR="003228E7" w:rsidRPr="002A510F">
        <w:rPr>
          <w:rFonts w:ascii="Times New Roman" w:hAnsi="Times New Roman" w:cs="Times New Roman"/>
          <w:bCs/>
        </w:rPr>
        <w:t>I</w:t>
      </w:r>
      <w:r w:rsidR="00C72748" w:rsidRPr="002A510F">
        <w:rPr>
          <w:rFonts w:ascii="Times New Roman" w:hAnsi="Times New Roman" w:cs="Times New Roman"/>
          <w:bCs/>
        </w:rPr>
        <w:t xml:space="preserve">nteligencia </w:t>
      </w:r>
      <w:r w:rsidR="003228E7" w:rsidRPr="002A510F">
        <w:rPr>
          <w:rFonts w:ascii="Times New Roman" w:hAnsi="Times New Roman" w:cs="Times New Roman"/>
          <w:bCs/>
        </w:rPr>
        <w:t>A</w:t>
      </w:r>
      <w:r w:rsidR="00C72748" w:rsidRPr="002A510F">
        <w:rPr>
          <w:rFonts w:ascii="Times New Roman" w:hAnsi="Times New Roman" w:cs="Times New Roman"/>
          <w:bCs/>
        </w:rPr>
        <w:t>rtificial) y se modifican determinados actos legislativos de la Unión cuyas primeras versiones fueron conocidas en abril de 2021.</w:t>
      </w:r>
    </w:p>
    <w:p w14:paraId="136769F4" w14:textId="7CB24567" w:rsidR="00B40949" w:rsidRPr="002A510F" w:rsidRDefault="00337AC5" w:rsidP="005443D8">
      <w:pPr>
        <w:spacing w:line="360" w:lineRule="auto"/>
        <w:jc w:val="both"/>
        <w:rPr>
          <w:rFonts w:ascii="Times New Roman" w:hAnsi="Times New Roman" w:cs="Times New Roman"/>
        </w:rPr>
      </w:pPr>
      <w:r w:rsidRPr="002A510F">
        <w:rPr>
          <w:rFonts w:ascii="Times New Roman" w:hAnsi="Times New Roman" w:cs="Times New Roman"/>
        </w:rPr>
        <w:t>Comenzando por la</w:t>
      </w:r>
      <w:r w:rsidR="00B40949" w:rsidRPr="002A510F">
        <w:rPr>
          <w:rFonts w:ascii="Times New Roman" w:hAnsi="Times New Roman" w:cs="Times New Roman"/>
        </w:rPr>
        <w:t xml:space="preserve"> Resolución del Parlamento Europeo</w:t>
      </w:r>
      <w:r w:rsidRPr="002A510F">
        <w:rPr>
          <w:rFonts w:ascii="Times New Roman" w:hAnsi="Times New Roman" w:cs="Times New Roman"/>
        </w:rPr>
        <w:t xml:space="preserve"> </w:t>
      </w:r>
      <w:r w:rsidR="00BC7B9D" w:rsidRPr="002A510F">
        <w:rPr>
          <w:rFonts w:ascii="Times New Roman" w:hAnsi="Times New Roman" w:cs="Times New Roman"/>
        </w:rPr>
        <w:t>sobre la IA en el Derecho Penal, la misma</w:t>
      </w:r>
      <w:r w:rsidR="00B40949" w:rsidRPr="002A510F">
        <w:rPr>
          <w:rFonts w:ascii="Times New Roman" w:hAnsi="Times New Roman" w:cs="Times New Roman"/>
        </w:rPr>
        <w:t xml:space="preserve"> contiene reflexiones de gran calado orientadas a encauzar el uso de la IA en la </w:t>
      </w:r>
      <w:r w:rsidR="00B40949" w:rsidRPr="002A510F">
        <w:rPr>
          <w:rFonts w:ascii="Times New Roman" w:hAnsi="Times New Roman" w:cs="Times New Roman"/>
        </w:rPr>
        <w:lastRenderedPageBreak/>
        <w:t xml:space="preserve">esfera </w:t>
      </w:r>
      <w:r w:rsidR="00BC7B9D" w:rsidRPr="002A510F">
        <w:rPr>
          <w:rFonts w:ascii="Times New Roman" w:hAnsi="Times New Roman" w:cs="Times New Roman"/>
        </w:rPr>
        <w:t>que aborda</w:t>
      </w:r>
      <w:r w:rsidR="00B40949" w:rsidRPr="002A510F">
        <w:rPr>
          <w:rFonts w:ascii="Times New Roman" w:hAnsi="Times New Roman" w:cs="Times New Roman"/>
        </w:rPr>
        <w:t xml:space="preserve">. </w:t>
      </w:r>
      <w:r w:rsidR="00724228" w:rsidRPr="002A510F">
        <w:rPr>
          <w:rFonts w:ascii="Times New Roman" w:hAnsi="Times New Roman" w:cs="Times New Roman"/>
        </w:rPr>
        <w:t xml:space="preserve">En primer lugar, dicha Resolución considera fundamental </w:t>
      </w:r>
      <w:r w:rsidR="00B40949" w:rsidRPr="002A510F">
        <w:rPr>
          <w:rFonts w:ascii="Times New Roman" w:hAnsi="Times New Roman" w:cs="Times New Roman"/>
        </w:rPr>
        <w:t xml:space="preserve">evitar que </w:t>
      </w:r>
      <w:r w:rsidR="00724228" w:rsidRPr="002A510F">
        <w:rPr>
          <w:rFonts w:ascii="Times New Roman" w:hAnsi="Times New Roman" w:cs="Times New Roman"/>
        </w:rPr>
        <w:t>estas tecnologías</w:t>
      </w:r>
      <w:r w:rsidR="00B40949" w:rsidRPr="002A510F">
        <w:rPr>
          <w:rFonts w:ascii="Times New Roman" w:hAnsi="Times New Roman" w:cs="Times New Roman"/>
        </w:rPr>
        <w:t xml:space="preserve"> produzcan efectos discriminatorios o generen sesgos o perjuicios </w:t>
      </w:r>
      <w:r w:rsidR="00306F08" w:rsidRPr="002A510F">
        <w:rPr>
          <w:rFonts w:ascii="Times New Roman" w:hAnsi="Times New Roman" w:cs="Times New Roman"/>
        </w:rPr>
        <w:t>ya constatados a lo largo de nuestro trabajo</w:t>
      </w:r>
      <w:r w:rsidR="008E3FDB" w:rsidRPr="002A510F">
        <w:rPr>
          <w:rFonts w:ascii="Times New Roman" w:hAnsi="Times New Roman" w:cs="Times New Roman"/>
        </w:rPr>
        <w:t>. Partiendo del dato de que dichos sesgos pueden resultar inherentes a los conjuntos de datos subyacentes</w:t>
      </w:r>
      <w:r w:rsidR="00A96B81" w:rsidRPr="002A510F">
        <w:rPr>
          <w:rFonts w:ascii="Times New Roman" w:hAnsi="Times New Roman" w:cs="Times New Roman"/>
        </w:rPr>
        <w:t xml:space="preserve"> se </w:t>
      </w:r>
      <w:r w:rsidR="003228E7" w:rsidRPr="002A510F">
        <w:rPr>
          <w:rFonts w:ascii="Times New Roman" w:hAnsi="Times New Roman" w:cs="Times New Roman"/>
        </w:rPr>
        <w:t>evidencia</w:t>
      </w:r>
      <w:r w:rsidR="00A96B81" w:rsidRPr="002A510F">
        <w:rPr>
          <w:rFonts w:ascii="Times New Roman" w:hAnsi="Times New Roman" w:cs="Times New Roman"/>
        </w:rPr>
        <w:t xml:space="preserve"> que los sesgos tienden a aumentar de </w:t>
      </w:r>
      <w:r w:rsidR="003228E7" w:rsidRPr="002A510F">
        <w:rPr>
          <w:rFonts w:ascii="Times New Roman" w:hAnsi="Times New Roman" w:cs="Times New Roman"/>
        </w:rPr>
        <w:t>forma</w:t>
      </w:r>
      <w:r w:rsidR="00A96B81" w:rsidRPr="002A510F">
        <w:rPr>
          <w:rFonts w:ascii="Times New Roman" w:hAnsi="Times New Roman" w:cs="Times New Roman"/>
        </w:rPr>
        <w:t xml:space="preserve"> gradual por lo que el potencial discriminatorio se incrementa de manera exponencial (en particular para personas pertenecientes a colectivos tradicionalmente racializados). </w:t>
      </w:r>
      <w:r w:rsidR="00306F08" w:rsidRPr="002A510F">
        <w:rPr>
          <w:rFonts w:ascii="Times New Roman" w:hAnsi="Times New Roman" w:cs="Times New Roman"/>
        </w:rPr>
        <w:t xml:space="preserve"> </w:t>
      </w:r>
    </w:p>
    <w:p w14:paraId="56491D9C" w14:textId="28A1DC78" w:rsidR="00E9072F" w:rsidRPr="002A510F" w:rsidRDefault="00505280" w:rsidP="005443D8">
      <w:pPr>
        <w:spacing w:line="360" w:lineRule="auto"/>
        <w:jc w:val="both"/>
        <w:rPr>
          <w:rFonts w:ascii="Times New Roman" w:hAnsi="Times New Roman" w:cs="Times New Roman"/>
        </w:rPr>
      </w:pPr>
      <w:r w:rsidRPr="002A510F">
        <w:rPr>
          <w:rFonts w:ascii="Times New Roman" w:hAnsi="Times New Roman" w:cs="Times New Roman"/>
        </w:rPr>
        <w:t>L</w:t>
      </w:r>
      <w:r w:rsidR="003228E7" w:rsidRPr="002A510F">
        <w:rPr>
          <w:rFonts w:ascii="Times New Roman" w:hAnsi="Times New Roman" w:cs="Times New Roman"/>
        </w:rPr>
        <w:t xml:space="preserve">a referida </w:t>
      </w:r>
      <w:r w:rsidRPr="002A510F">
        <w:rPr>
          <w:rFonts w:ascii="Times New Roman" w:hAnsi="Times New Roman" w:cs="Times New Roman"/>
        </w:rPr>
        <w:t>Resolución del Parlamento Europeo aborda igualmente cuestiones de naturaleza procesal penal, que han emergido al hilo de la utilización de algoritmos fundados en la IA en la esfera norteamericana fundamentalmente. En este sentido, la</w:t>
      </w:r>
      <w:r w:rsidR="003228E7" w:rsidRPr="002A510F">
        <w:rPr>
          <w:rFonts w:ascii="Times New Roman" w:hAnsi="Times New Roman" w:cs="Times New Roman"/>
        </w:rPr>
        <w:t xml:space="preserve"> </w:t>
      </w:r>
      <w:r w:rsidRPr="002A510F">
        <w:rPr>
          <w:rFonts w:ascii="Times New Roman" w:hAnsi="Times New Roman" w:cs="Times New Roman"/>
        </w:rPr>
        <w:t>Resolución evidencia el impacto cierto de las herramientas fundadas en la IA en el ejercicio</w:t>
      </w:r>
      <w:r w:rsidR="00837A85" w:rsidRPr="002A510F">
        <w:rPr>
          <w:rFonts w:ascii="Times New Roman" w:hAnsi="Times New Roman" w:cs="Times New Roman"/>
        </w:rPr>
        <w:t xml:space="preserve"> del</w:t>
      </w:r>
      <w:r w:rsidRPr="002A510F">
        <w:rPr>
          <w:rFonts w:ascii="Times New Roman" w:hAnsi="Times New Roman" w:cs="Times New Roman"/>
        </w:rPr>
        <w:t xml:space="preserve"> derecho de defensa como consecuencia básicamente de la dificultad para obtener información significativa sobre su funcionamiento y la consiguiente dificultad para impugnar sus resultados ante los tribunales (en particular, por parte de los investigados). </w:t>
      </w:r>
    </w:p>
    <w:p w14:paraId="021A90D1" w14:textId="61ABBABD" w:rsidR="00C27761" w:rsidRPr="002A510F" w:rsidRDefault="00E76741" w:rsidP="005443D8">
      <w:pPr>
        <w:autoSpaceDE w:val="0"/>
        <w:autoSpaceDN w:val="0"/>
        <w:adjustRightInd w:val="0"/>
        <w:spacing w:line="360" w:lineRule="auto"/>
        <w:jc w:val="both"/>
        <w:rPr>
          <w:rFonts w:ascii="Times New Roman" w:hAnsi="Times New Roman" w:cs="Times New Roman"/>
          <w:lang w:val="es-ES_tradnl"/>
        </w:rPr>
      </w:pPr>
      <w:r w:rsidRPr="002A510F">
        <w:rPr>
          <w:rFonts w:ascii="Times New Roman" w:hAnsi="Times New Roman" w:cs="Times New Roman"/>
          <w:lang w:val="es-ES_tradnl"/>
        </w:rPr>
        <w:t xml:space="preserve">En segundo lugar, en la esfera de la UE fundamental resulta </w:t>
      </w:r>
      <w:r w:rsidR="006F0AB7" w:rsidRPr="002A510F">
        <w:rPr>
          <w:rFonts w:ascii="Times New Roman" w:hAnsi="Times New Roman" w:cs="Times New Roman"/>
          <w:lang w:val="es-ES_tradnl"/>
        </w:rPr>
        <w:t>la Propuesta de Reglamento</w:t>
      </w:r>
      <w:r w:rsidR="003228E7" w:rsidRPr="002A510F">
        <w:rPr>
          <w:rFonts w:ascii="Times New Roman" w:hAnsi="Times New Roman" w:cs="Times New Roman"/>
          <w:lang w:val="es-ES_tradnl"/>
        </w:rPr>
        <w:t xml:space="preserve"> (Ley de Inteligencia Artificial</w:t>
      </w:r>
      <w:r w:rsidR="00376F01" w:rsidRPr="002A510F">
        <w:rPr>
          <w:rStyle w:val="Refdenotaalpie"/>
          <w:rFonts w:ascii="Times New Roman" w:hAnsi="Times New Roman" w:cs="Times New Roman"/>
          <w:lang w:val="es-ES_tradnl"/>
        </w:rPr>
        <w:footnoteReference w:id="23"/>
      </w:r>
      <w:r w:rsidR="003228E7" w:rsidRPr="002A510F">
        <w:rPr>
          <w:rFonts w:ascii="Times New Roman" w:hAnsi="Times New Roman" w:cs="Times New Roman"/>
          <w:lang w:val="es-ES_tradnl"/>
        </w:rPr>
        <w:t>)</w:t>
      </w:r>
      <w:r w:rsidR="006F0AB7" w:rsidRPr="002A510F">
        <w:rPr>
          <w:rFonts w:ascii="Times New Roman" w:hAnsi="Times New Roman" w:cs="Times New Roman"/>
          <w:lang w:val="es-ES_tradnl"/>
        </w:rPr>
        <w:t xml:space="preserve"> puesto</w:t>
      </w:r>
      <w:r w:rsidR="00CA6EE3" w:rsidRPr="002A510F">
        <w:rPr>
          <w:rFonts w:ascii="Times New Roman" w:hAnsi="Times New Roman" w:cs="Times New Roman"/>
          <w:lang w:val="es-ES_tradnl"/>
        </w:rPr>
        <w:t xml:space="preserve"> que</w:t>
      </w:r>
      <w:r w:rsidR="003228E7" w:rsidRPr="002A510F">
        <w:rPr>
          <w:rFonts w:ascii="Times New Roman" w:hAnsi="Times New Roman" w:cs="Times New Roman"/>
          <w:lang w:val="es-ES_tradnl"/>
        </w:rPr>
        <w:t xml:space="preserve"> constituye </w:t>
      </w:r>
      <w:r w:rsidR="006F0AB7" w:rsidRPr="002A510F">
        <w:rPr>
          <w:rFonts w:ascii="Times New Roman" w:hAnsi="Times New Roman" w:cs="Times New Roman"/>
          <w:lang w:val="es-ES_tradnl"/>
        </w:rPr>
        <w:t>el embrión de la norma llamada a sentar el marco normativo común en toda la U</w:t>
      </w:r>
      <w:r w:rsidR="00AE6BF1" w:rsidRPr="002A510F">
        <w:rPr>
          <w:rFonts w:ascii="Times New Roman" w:hAnsi="Times New Roman" w:cs="Times New Roman"/>
          <w:lang w:val="es-ES_tradnl"/>
        </w:rPr>
        <w:t>nión</w:t>
      </w:r>
      <w:r w:rsidR="006F0AB7" w:rsidRPr="002A510F">
        <w:rPr>
          <w:rFonts w:ascii="Times New Roman" w:hAnsi="Times New Roman" w:cs="Times New Roman"/>
          <w:lang w:val="es-ES_tradnl"/>
        </w:rPr>
        <w:t xml:space="preserve"> en relación con la IA. A pesar de que la Ley de Inteligencia Artificial ostenta una vocación amplia</w:t>
      </w:r>
      <w:r w:rsidR="003228E7" w:rsidRPr="002A510F">
        <w:rPr>
          <w:rFonts w:ascii="Times New Roman" w:hAnsi="Times New Roman" w:cs="Times New Roman"/>
          <w:lang w:val="es-ES_tradnl"/>
        </w:rPr>
        <w:t xml:space="preserve">, </w:t>
      </w:r>
      <w:r w:rsidR="006F0AB7" w:rsidRPr="002A510F">
        <w:rPr>
          <w:rFonts w:ascii="Times New Roman" w:hAnsi="Times New Roman" w:cs="Times New Roman"/>
          <w:lang w:val="es-ES_tradnl"/>
        </w:rPr>
        <w:t>pues se orienta a la regulación de los sistemas de IA con independencia de su ámbito de incidencia, algunas de sus disposiciones merecen una toma en consideración particular por su</w:t>
      </w:r>
      <w:r w:rsidR="003228E7" w:rsidRPr="002A510F">
        <w:rPr>
          <w:rFonts w:ascii="Times New Roman" w:hAnsi="Times New Roman" w:cs="Times New Roman"/>
          <w:lang w:val="es-ES_tradnl"/>
        </w:rPr>
        <w:t xml:space="preserve"> impacto</w:t>
      </w:r>
      <w:r w:rsidR="00CA6EE3" w:rsidRPr="002A510F">
        <w:rPr>
          <w:rFonts w:ascii="Times New Roman" w:hAnsi="Times New Roman" w:cs="Times New Roman"/>
          <w:lang w:val="es-ES_tradnl"/>
        </w:rPr>
        <w:t xml:space="preserve"> cierto</w:t>
      </w:r>
      <w:r w:rsidR="006F0AB7" w:rsidRPr="002A510F">
        <w:rPr>
          <w:rFonts w:ascii="Times New Roman" w:hAnsi="Times New Roman" w:cs="Times New Roman"/>
          <w:lang w:val="es-ES_tradnl"/>
        </w:rPr>
        <w:t xml:space="preserve"> en la esfera penal.</w:t>
      </w:r>
    </w:p>
    <w:p w14:paraId="3736B441" w14:textId="16E7D19B" w:rsidR="00C27761" w:rsidRPr="002A510F" w:rsidRDefault="002527F9" w:rsidP="005443D8">
      <w:pPr>
        <w:autoSpaceDE w:val="0"/>
        <w:autoSpaceDN w:val="0"/>
        <w:adjustRightInd w:val="0"/>
        <w:spacing w:line="360" w:lineRule="auto"/>
        <w:jc w:val="both"/>
        <w:rPr>
          <w:rFonts w:ascii="Times New Roman" w:hAnsi="Times New Roman" w:cs="Times New Roman"/>
          <w:lang w:val="es-ES_tradnl"/>
        </w:rPr>
      </w:pPr>
      <w:r w:rsidRPr="002A510F">
        <w:rPr>
          <w:rFonts w:ascii="Times New Roman" w:hAnsi="Times New Roman" w:cs="Times New Roman"/>
          <w:lang w:val="es-ES_tradnl"/>
        </w:rPr>
        <w:t>A nivel aplicativo, le Ley de Inteligencia Artificial se estructura a partir de una clasificación de los sistemas de IA en función del riesgo que implican, distinguiéndose entre aquellos que a) implican un riesgo inaceptable y, en consecuencia, constituyen prácticas de IA prohibidas (art. 5 AIA), b) aquellos que conllevan un riesgo alto, que integran la base de la regulación contenida en la Ley de Inteligencia Artificial, y c) los de riesgo bajo o mínimo.</w:t>
      </w:r>
    </w:p>
    <w:p w14:paraId="79287DEB" w14:textId="4817A29F" w:rsidR="006F0AB7" w:rsidRPr="002A510F" w:rsidRDefault="006F0AB7" w:rsidP="005443D8">
      <w:pPr>
        <w:autoSpaceDE w:val="0"/>
        <w:autoSpaceDN w:val="0"/>
        <w:adjustRightInd w:val="0"/>
        <w:spacing w:line="360" w:lineRule="auto"/>
        <w:jc w:val="both"/>
        <w:rPr>
          <w:rFonts w:ascii="Times New Roman" w:hAnsi="Times New Roman" w:cs="Times New Roman"/>
          <w:lang w:val="es-ES_tradnl"/>
        </w:rPr>
      </w:pPr>
      <w:r w:rsidRPr="002A510F">
        <w:rPr>
          <w:rFonts w:ascii="Times New Roman" w:hAnsi="Times New Roman" w:cs="Times New Roman"/>
          <w:lang w:val="es-ES_tradnl"/>
        </w:rPr>
        <w:t xml:space="preserve">En </w:t>
      </w:r>
      <w:r w:rsidR="000E044C" w:rsidRPr="002A510F">
        <w:rPr>
          <w:rFonts w:ascii="Times New Roman" w:hAnsi="Times New Roman" w:cs="Times New Roman"/>
          <w:lang w:val="es-ES_tradnl"/>
        </w:rPr>
        <w:t>relación con el particular</w:t>
      </w:r>
      <w:r w:rsidRPr="002A510F">
        <w:rPr>
          <w:rFonts w:ascii="Times New Roman" w:hAnsi="Times New Roman" w:cs="Times New Roman"/>
          <w:lang w:val="es-ES_tradnl"/>
        </w:rPr>
        <w:t xml:space="preserve"> el considerando 40 AIA </w:t>
      </w:r>
      <w:r w:rsidR="000E044C" w:rsidRPr="002A510F">
        <w:rPr>
          <w:rFonts w:ascii="Times New Roman" w:hAnsi="Times New Roman" w:cs="Times New Roman"/>
          <w:lang w:val="es-ES_tradnl"/>
        </w:rPr>
        <w:t>estima</w:t>
      </w:r>
      <w:r w:rsidR="00C27761" w:rsidRPr="002A510F">
        <w:rPr>
          <w:rFonts w:ascii="Times New Roman" w:hAnsi="Times New Roman" w:cs="Times New Roman"/>
          <w:lang w:val="es-ES_tradnl"/>
        </w:rPr>
        <w:t xml:space="preserve"> que deben con</w:t>
      </w:r>
      <w:r w:rsidR="00AE6BF1" w:rsidRPr="002A510F">
        <w:rPr>
          <w:rFonts w:ascii="Times New Roman" w:hAnsi="Times New Roman" w:cs="Times New Roman"/>
          <w:lang w:val="es-ES_tradnl"/>
        </w:rPr>
        <w:t>ceptuarse como</w:t>
      </w:r>
      <w:r w:rsidR="00C27761" w:rsidRPr="002A510F">
        <w:rPr>
          <w:rFonts w:ascii="Times New Roman" w:hAnsi="Times New Roman" w:cs="Times New Roman"/>
          <w:lang w:val="es-ES_tradnl"/>
        </w:rPr>
        <w:t xml:space="preserve"> de alto riesgo ciertos sistemas de IA destinados a la administración de justicia y los procesos democráticos, dado que pueden tener efectos potencialmente importantes para la democracia, el Estado de Derecho, las libertades individuales y el derecho a la tutela </w:t>
      </w:r>
      <w:r w:rsidR="00C27761" w:rsidRPr="002A510F">
        <w:rPr>
          <w:rFonts w:ascii="Times New Roman" w:hAnsi="Times New Roman" w:cs="Times New Roman"/>
          <w:lang w:val="es-ES_tradnl"/>
        </w:rPr>
        <w:lastRenderedPageBreak/>
        <w:t>judicial efectiva y a un juez imparcial. En particular, a fin de evitar el riesgo de posibles sesgos, errores y opacidades,</w:t>
      </w:r>
      <w:r w:rsidR="003228E7" w:rsidRPr="002A510F">
        <w:rPr>
          <w:rFonts w:ascii="Times New Roman" w:hAnsi="Times New Roman" w:cs="Times New Roman"/>
          <w:lang w:val="es-ES_tradnl"/>
        </w:rPr>
        <w:t xml:space="preserve"> se estima que deben</w:t>
      </w:r>
      <w:r w:rsidR="00C27761" w:rsidRPr="002A510F">
        <w:rPr>
          <w:rFonts w:ascii="Times New Roman" w:hAnsi="Times New Roman" w:cs="Times New Roman"/>
          <w:lang w:val="es-ES_tradnl"/>
        </w:rPr>
        <w:t xml:space="preserve"> considerar</w:t>
      </w:r>
      <w:r w:rsidR="003228E7" w:rsidRPr="002A510F">
        <w:rPr>
          <w:rFonts w:ascii="Times New Roman" w:hAnsi="Times New Roman" w:cs="Times New Roman"/>
          <w:lang w:val="es-ES_tradnl"/>
        </w:rPr>
        <w:t>se</w:t>
      </w:r>
      <w:r w:rsidR="00C27761" w:rsidRPr="002A510F">
        <w:rPr>
          <w:rFonts w:ascii="Times New Roman" w:hAnsi="Times New Roman" w:cs="Times New Roman"/>
          <w:lang w:val="es-ES_tradnl"/>
        </w:rPr>
        <w:t xml:space="preserve"> de alto riesgo aquellos sistemas de IA cuyo objetivo es ayudar a las autoridades judiciales a investigar e interpretar los hechos y el Derecho y a aplicar la ley a unos hechos concretos.</w:t>
      </w:r>
    </w:p>
    <w:p w14:paraId="7A0439D5" w14:textId="4DC6910B" w:rsidR="009F4F4C" w:rsidRPr="002A510F" w:rsidRDefault="006E1887" w:rsidP="005443D8">
      <w:pPr>
        <w:autoSpaceDE w:val="0"/>
        <w:autoSpaceDN w:val="0"/>
        <w:adjustRightInd w:val="0"/>
        <w:spacing w:line="360" w:lineRule="auto"/>
        <w:jc w:val="both"/>
        <w:rPr>
          <w:rFonts w:ascii="Times New Roman" w:hAnsi="Times New Roman" w:cs="Times New Roman"/>
          <w:highlight w:val="yellow"/>
        </w:rPr>
      </w:pPr>
      <w:r w:rsidRPr="002A510F">
        <w:rPr>
          <w:rFonts w:ascii="Times New Roman" w:hAnsi="Times New Roman" w:cs="Times New Roman"/>
          <w:lang w:val="es-ES_tradnl"/>
        </w:rPr>
        <w:t xml:space="preserve">En coherencia con lo anterior, el art. 6 </w:t>
      </w:r>
      <w:r w:rsidR="0029128F" w:rsidRPr="002A510F">
        <w:rPr>
          <w:rFonts w:ascii="Times New Roman" w:hAnsi="Times New Roman" w:cs="Times New Roman"/>
          <w:lang w:val="es-ES_tradnl"/>
        </w:rPr>
        <w:t>AIA establece las reglas de clasificación para los sistemas de IA de alt</w:t>
      </w:r>
      <w:r w:rsidR="000E044C" w:rsidRPr="002A510F">
        <w:rPr>
          <w:rFonts w:ascii="Times New Roman" w:hAnsi="Times New Roman" w:cs="Times New Roman"/>
          <w:lang w:val="es-ES_tradnl"/>
        </w:rPr>
        <w:t>o</w:t>
      </w:r>
      <w:r w:rsidR="0029128F" w:rsidRPr="002A510F">
        <w:rPr>
          <w:rFonts w:ascii="Times New Roman" w:hAnsi="Times New Roman" w:cs="Times New Roman"/>
          <w:lang w:val="es-ES_tradnl"/>
        </w:rPr>
        <w:t xml:space="preserve"> riesgo y, entre otros, asigna a dicho grupo en su apartado 2º los que figuran en el anexo III de la Ley de Inteligencia Artificial. El </w:t>
      </w:r>
      <w:r w:rsidR="0029128F" w:rsidRPr="002A510F">
        <w:rPr>
          <w:rFonts w:ascii="Times New Roman" w:hAnsi="Times New Roman" w:cs="Times New Roman"/>
        </w:rPr>
        <w:t xml:space="preserve">apartado 6 del Anexo III se </w:t>
      </w:r>
      <w:r w:rsidR="00CC6439" w:rsidRPr="002A510F">
        <w:rPr>
          <w:rFonts w:ascii="Times New Roman" w:hAnsi="Times New Roman" w:cs="Times New Roman"/>
        </w:rPr>
        <w:t>refiere</w:t>
      </w:r>
      <w:r w:rsidR="0029128F" w:rsidRPr="002A510F">
        <w:rPr>
          <w:rFonts w:ascii="Times New Roman" w:hAnsi="Times New Roman" w:cs="Times New Roman"/>
        </w:rPr>
        <w:t xml:space="preserve"> a los asuntos relacionados con la aplicación de la ley, e</w:t>
      </w:r>
      <w:r w:rsidR="00CC6439" w:rsidRPr="002A510F">
        <w:rPr>
          <w:rFonts w:ascii="Times New Roman" w:hAnsi="Times New Roman" w:cs="Times New Roman"/>
        </w:rPr>
        <w:t>stableciendo un repertorio</w:t>
      </w:r>
      <w:r w:rsidR="0029128F" w:rsidRPr="002A510F">
        <w:rPr>
          <w:rFonts w:ascii="Times New Roman" w:hAnsi="Times New Roman" w:cs="Times New Roman"/>
        </w:rPr>
        <w:t xml:space="preserve"> de sistemas de IA susceptibles de aplicación en la esfera judicial-penal.</w:t>
      </w:r>
    </w:p>
    <w:p w14:paraId="03502729" w14:textId="5550B453" w:rsidR="00375135" w:rsidRPr="002A510F" w:rsidRDefault="00E375B2" w:rsidP="005443D8">
      <w:pPr>
        <w:autoSpaceDE w:val="0"/>
        <w:autoSpaceDN w:val="0"/>
        <w:adjustRightInd w:val="0"/>
        <w:spacing w:line="360" w:lineRule="auto"/>
        <w:jc w:val="both"/>
        <w:rPr>
          <w:rFonts w:ascii="Times New Roman" w:hAnsi="Times New Roman" w:cs="Times New Roman"/>
          <w:lang w:val="es-ES_tradnl"/>
        </w:rPr>
      </w:pPr>
      <w:r w:rsidRPr="002A510F">
        <w:rPr>
          <w:rFonts w:ascii="Times New Roman" w:hAnsi="Times New Roman" w:cs="Times New Roman"/>
          <w:lang w:val="es-ES_tradnl"/>
        </w:rPr>
        <w:t>La calificación de un sistema como de alto riesgo implica importantes consecuencias regulatorias, pues la mayor parte de las disposiciones de la propia Ley de Inteligencia Artificial se orientan hacia la determinación de las características que deben cumplir los referidos sistemas. En este sentido, como ponen de manifiesto LAZCOZ/URRUELA/DE MIGUEL</w:t>
      </w:r>
      <w:r w:rsidRPr="002A510F">
        <w:rPr>
          <w:rStyle w:val="Refdenotaalpie"/>
          <w:rFonts w:ascii="Times New Roman" w:hAnsi="Times New Roman" w:cs="Times New Roman"/>
          <w:lang w:val="es-ES_tradnl"/>
        </w:rPr>
        <w:footnoteReference w:id="24"/>
      </w:r>
      <w:r w:rsidRPr="002A510F">
        <w:rPr>
          <w:rFonts w:ascii="Times New Roman" w:hAnsi="Times New Roman" w:cs="Times New Roman"/>
          <w:lang w:val="es-ES_tradnl"/>
        </w:rPr>
        <w:t xml:space="preserve"> para </w:t>
      </w:r>
      <w:r w:rsidRPr="002A510F">
        <w:rPr>
          <w:rFonts w:ascii="Times New Roman" w:hAnsi="Times New Roman" w:cs="Times New Roman"/>
        </w:rPr>
        <w:t xml:space="preserve">estos se fijan una serie de mecanismos de cumplimiento y aplicación </w:t>
      </w:r>
      <w:r w:rsidRPr="002A510F">
        <w:rPr>
          <w:rFonts w:ascii="Times New Roman" w:hAnsi="Times New Roman" w:cs="Times New Roman"/>
          <w:i/>
        </w:rPr>
        <w:t>ex ante</w:t>
      </w:r>
      <w:r w:rsidRPr="002A510F">
        <w:rPr>
          <w:rFonts w:ascii="Times New Roman" w:hAnsi="Times New Roman" w:cs="Times New Roman"/>
        </w:rPr>
        <w:t xml:space="preserve"> y </w:t>
      </w:r>
      <w:r w:rsidRPr="002A510F">
        <w:rPr>
          <w:rFonts w:ascii="Times New Roman" w:hAnsi="Times New Roman" w:cs="Times New Roman"/>
          <w:i/>
        </w:rPr>
        <w:t>ex post</w:t>
      </w:r>
      <w:r w:rsidRPr="002A510F">
        <w:rPr>
          <w:rFonts w:ascii="Times New Roman" w:hAnsi="Times New Roman" w:cs="Times New Roman"/>
        </w:rPr>
        <w:t xml:space="preserve"> que, por lo general, se traducen en obligaciones jurídicas para los proveedores de los sistemas en la fase de diseño y desarrollo. </w:t>
      </w:r>
      <w:r w:rsidR="00601803" w:rsidRPr="002A510F">
        <w:rPr>
          <w:rFonts w:ascii="Times New Roman" w:hAnsi="Times New Roman" w:cs="Times New Roman"/>
        </w:rPr>
        <w:t>Como evidencian los citados autores,</w:t>
      </w:r>
      <w:r w:rsidRPr="002A510F">
        <w:rPr>
          <w:rFonts w:ascii="Times New Roman" w:hAnsi="Times New Roman" w:cs="Times New Roman"/>
        </w:rPr>
        <w:t xml:space="preserve"> este sistema normativo se ha diseñado para asegurar que los sistemas de alto riesgo cumplan con una serie de requisitos definidos como obligatorios </w:t>
      </w:r>
      <w:r w:rsidR="001F5C4D" w:rsidRPr="002A510F">
        <w:rPr>
          <w:rFonts w:ascii="Times New Roman" w:hAnsi="Times New Roman" w:cs="Times New Roman"/>
        </w:rPr>
        <w:t xml:space="preserve">antes </w:t>
      </w:r>
      <w:r w:rsidR="005E67D0">
        <w:rPr>
          <w:rFonts w:ascii="Times New Roman" w:hAnsi="Times New Roman" w:cs="Times New Roman"/>
        </w:rPr>
        <w:t>d</w:t>
      </w:r>
      <w:r w:rsidR="001F5C4D" w:rsidRPr="002A510F">
        <w:rPr>
          <w:rFonts w:ascii="Times New Roman" w:hAnsi="Times New Roman" w:cs="Times New Roman"/>
        </w:rPr>
        <w:t>e su puesta en el mercado</w:t>
      </w:r>
      <w:r w:rsidRPr="002A510F">
        <w:rPr>
          <w:rFonts w:ascii="Times New Roman" w:hAnsi="Times New Roman" w:cs="Times New Roman"/>
        </w:rPr>
        <w:t>; a saber, gobernanza de datos, documentación y registro, la transparencia y la comunicación de información a los usuarios, la supervisión humana, o la solidez, la precisión y la ciberseguridad.</w:t>
      </w:r>
    </w:p>
    <w:p w14:paraId="6630A230" w14:textId="1F2D8B17" w:rsidR="00CA6EE3" w:rsidRPr="002A510F" w:rsidRDefault="00E375B2" w:rsidP="005443D8">
      <w:pPr>
        <w:autoSpaceDE w:val="0"/>
        <w:autoSpaceDN w:val="0"/>
        <w:adjustRightInd w:val="0"/>
        <w:spacing w:line="360" w:lineRule="auto"/>
        <w:jc w:val="both"/>
        <w:rPr>
          <w:rFonts w:ascii="Times New Roman" w:hAnsi="Times New Roman" w:cs="Times New Roman"/>
          <w:lang w:val="es-ES_tradnl"/>
        </w:rPr>
      </w:pPr>
      <w:r w:rsidRPr="002A510F">
        <w:rPr>
          <w:rFonts w:ascii="Times New Roman" w:hAnsi="Times New Roman" w:cs="Times New Roman"/>
          <w:lang w:val="es-ES_tradnl"/>
        </w:rPr>
        <w:t xml:space="preserve">No </w:t>
      </w:r>
      <w:r w:rsidR="00FA6649" w:rsidRPr="002A510F">
        <w:rPr>
          <w:rFonts w:ascii="Times New Roman" w:hAnsi="Times New Roman" w:cs="Times New Roman"/>
          <w:lang w:val="es-ES_tradnl"/>
        </w:rPr>
        <w:t>obstante, la clasificación de los sistemas de IA con incidencia en la esfera penal como de alto riesgo no goza de unanimidad. En este sentido, el Supervisor Europeo de Protección de Datos y el Comité Europeo de Protección de Datos en su Dictamen conjunto 5/2021</w:t>
      </w:r>
      <w:r w:rsidR="00FA6649" w:rsidRPr="002A510F">
        <w:rPr>
          <w:rStyle w:val="Refdenotaalpie"/>
          <w:rFonts w:ascii="Times New Roman" w:hAnsi="Times New Roman" w:cs="Times New Roman"/>
          <w:lang w:val="es-ES_tradnl"/>
        </w:rPr>
        <w:footnoteReference w:id="25"/>
      </w:r>
      <w:r w:rsidR="00FA6649" w:rsidRPr="002A510F">
        <w:rPr>
          <w:rFonts w:ascii="Times New Roman" w:hAnsi="Times New Roman" w:cs="Times New Roman"/>
          <w:lang w:val="es-ES_tradnl"/>
        </w:rPr>
        <w:t xml:space="preserve"> vienen a establecer que las formas intrusivas de IA, en especial las que pueden afectar a la dignidad humana, deberían considerarse sistemas de IA prohibidos con arreglo al art. 5 de la Ley de inteligencia artificial en lugar de clasificarse simplemente como de alto riesgo en el anexo III, como las del art. 6. Ahondando en dicho argumento, se considera que </w:t>
      </w:r>
      <w:r w:rsidR="00375135" w:rsidRPr="002A510F">
        <w:rPr>
          <w:rFonts w:ascii="Times New Roman" w:hAnsi="Times New Roman" w:cs="Times New Roman"/>
          <w:lang w:val="es-ES_tradnl"/>
        </w:rPr>
        <w:t>la determinación o clasificación por un ordenador de la conducta futura con independencia de la voluntad propia también afecta a la dignidad humana.</w:t>
      </w:r>
      <w:r w:rsidR="00CA6EE3" w:rsidRPr="002A510F">
        <w:rPr>
          <w:rFonts w:ascii="Times New Roman" w:hAnsi="Times New Roman" w:cs="Times New Roman"/>
          <w:lang w:val="es-ES_tradnl"/>
        </w:rPr>
        <w:t xml:space="preserve"> Por otro </w:t>
      </w:r>
      <w:r w:rsidR="00CA6EE3" w:rsidRPr="002A510F">
        <w:rPr>
          <w:rFonts w:ascii="Times New Roman" w:hAnsi="Times New Roman" w:cs="Times New Roman"/>
          <w:lang w:val="es-ES_tradnl"/>
        </w:rPr>
        <w:lastRenderedPageBreak/>
        <w:t>lado, se argumenta</w:t>
      </w:r>
      <w:r w:rsidR="00375135" w:rsidRPr="002A510F">
        <w:rPr>
          <w:rFonts w:ascii="Times New Roman" w:hAnsi="Times New Roman" w:cs="Times New Roman"/>
          <w:lang w:val="es-ES_tradnl"/>
        </w:rPr>
        <w:t xml:space="preserve"> que los sistemas de IA destinados a ser utilizados por las autoridades encargadas de la aplicación de la ley para llevar a cabo evaluaciones de riesgos individuales de personas físicas con el objetivo de determinar el riesgo de que cometan infracciones penales (anexo III, apartado 6, letra a), o para predecir la frecuencia o reiteración de una infracción penal real o potencial con base en la elaboración de perfiles de personas físicas o en la evaluación de rasgos y características de la personalidad o conductas delictivas pasadas (anexo III, apartado 6, letra e) utilizados según su finalidad prevista, conducirán a la dominación fundamental de la toma de decisiones policiales y judiciales, con la consiguiente cosificación de la persona afectada. </w:t>
      </w:r>
      <w:r w:rsidR="00A06DCA" w:rsidRPr="002A510F">
        <w:rPr>
          <w:rFonts w:ascii="Times New Roman" w:hAnsi="Times New Roman" w:cs="Times New Roman"/>
          <w:lang w:val="es-ES_tradnl"/>
        </w:rPr>
        <w:t>A la luz de lo anterior</w:t>
      </w:r>
      <w:r w:rsidR="00375135" w:rsidRPr="002A510F">
        <w:rPr>
          <w:rFonts w:ascii="Times New Roman" w:hAnsi="Times New Roman" w:cs="Times New Roman"/>
          <w:lang w:val="es-ES_tradnl"/>
        </w:rPr>
        <w:t xml:space="preserve"> se pone de manifiesto que dichos sistemas, que afectan a la esencia del derecho a la dignidad humana, deben prohibirse en virtud del artículo 5.</w:t>
      </w:r>
    </w:p>
    <w:p w14:paraId="3E94ABD3" w14:textId="3D22FBEF" w:rsidR="00C11973" w:rsidRPr="002A510F" w:rsidRDefault="00A06DCA" w:rsidP="005443D8">
      <w:pPr>
        <w:autoSpaceDE w:val="0"/>
        <w:autoSpaceDN w:val="0"/>
        <w:adjustRightInd w:val="0"/>
        <w:spacing w:line="360" w:lineRule="auto"/>
        <w:jc w:val="both"/>
        <w:rPr>
          <w:rFonts w:ascii="Times New Roman" w:hAnsi="Times New Roman" w:cs="Times New Roman"/>
          <w:lang w:val="es-ES_tradnl"/>
        </w:rPr>
      </w:pPr>
      <w:r w:rsidRPr="002A510F">
        <w:rPr>
          <w:rFonts w:ascii="Times New Roman" w:hAnsi="Times New Roman" w:cs="Times New Roman"/>
          <w:lang w:val="es-ES_tradnl"/>
        </w:rPr>
        <w:t xml:space="preserve">En definitiva, la incidencia de la IA en la esfera penal constituye un campo </w:t>
      </w:r>
      <w:r w:rsidR="00CC6439" w:rsidRPr="002A510F">
        <w:rPr>
          <w:rFonts w:ascii="Times New Roman" w:hAnsi="Times New Roman" w:cs="Times New Roman"/>
          <w:lang w:val="es-ES_tradnl"/>
        </w:rPr>
        <w:t xml:space="preserve">particularmente </w:t>
      </w:r>
      <w:r w:rsidRPr="002A510F">
        <w:rPr>
          <w:rFonts w:ascii="Times New Roman" w:hAnsi="Times New Roman" w:cs="Times New Roman"/>
          <w:lang w:val="es-ES_tradnl"/>
        </w:rPr>
        <w:t xml:space="preserve">necesitado de una importante reflexión </w:t>
      </w:r>
      <w:r w:rsidR="005B1D45" w:rsidRPr="002A510F">
        <w:rPr>
          <w:rFonts w:ascii="Times New Roman" w:hAnsi="Times New Roman" w:cs="Times New Roman"/>
          <w:lang w:val="es-ES_tradnl"/>
        </w:rPr>
        <w:t>multidisciplinar</w:t>
      </w:r>
      <w:r w:rsidR="00CC6439" w:rsidRPr="002A510F">
        <w:rPr>
          <w:rFonts w:ascii="Times New Roman" w:hAnsi="Times New Roman" w:cs="Times New Roman"/>
          <w:lang w:val="es-ES_tradnl"/>
        </w:rPr>
        <w:t xml:space="preserve"> (ya abordada</w:t>
      </w:r>
      <w:r w:rsidR="00601803" w:rsidRPr="002A510F">
        <w:rPr>
          <w:rFonts w:ascii="Times New Roman" w:hAnsi="Times New Roman" w:cs="Times New Roman"/>
          <w:lang w:val="es-ES_tradnl"/>
        </w:rPr>
        <w:t xml:space="preserve"> -aunque no culminada-</w:t>
      </w:r>
      <w:r w:rsidR="00CC6439" w:rsidRPr="002A510F">
        <w:rPr>
          <w:rFonts w:ascii="Times New Roman" w:hAnsi="Times New Roman" w:cs="Times New Roman"/>
          <w:lang w:val="es-ES_tradnl"/>
        </w:rPr>
        <w:t>, tal como se ha puesto de manifiesto, a nivel de UE)</w:t>
      </w:r>
      <w:r w:rsidRPr="002A510F">
        <w:rPr>
          <w:rFonts w:ascii="Times New Roman" w:hAnsi="Times New Roman" w:cs="Times New Roman"/>
          <w:lang w:val="es-ES_tradnl"/>
        </w:rPr>
        <w:t xml:space="preserve"> con la finalidad de evitar que estos sistemas inteligentes acaben suplantando la decisión humana en un ámbito en el que se encuentran en juego los derechos y libertades fundamentales de la ciudadanía.</w:t>
      </w:r>
    </w:p>
    <w:sectPr w:rsidR="00C11973" w:rsidRPr="002A510F" w:rsidSect="00BD595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A470F" w14:textId="77777777" w:rsidR="00E11301" w:rsidRDefault="00E11301" w:rsidP="00375135">
      <w:r>
        <w:separator/>
      </w:r>
    </w:p>
  </w:endnote>
  <w:endnote w:type="continuationSeparator" w:id="0">
    <w:p w14:paraId="09576EDA" w14:textId="77777777" w:rsidR="00E11301" w:rsidRDefault="00E11301" w:rsidP="00375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D7ACB" w14:textId="77777777" w:rsidR="00E11301" w:rsidRDefault="00E11301" w:rsidP="00375135">
      <w:r>
        <w:separator/>
      </w:r>
    </w:p>
  </w:footnote>
  <w:footnote w:type="continuationSeparator" w:id="0">
    <w:p w14:paraId="0FAD8DC3" w14:textId="77777777" w:rsidR="00E11301" w:rsidRDefault="00E11301" w:rsidP="00375135">
      <w:r>
        <w:continuationSeparator/>
      </w:r>
    </w:p>
  </w:footnote>
  <w:footnote w:id="1">
    <w:p w14:paraId="7C05B33B" w14:textId="592DB634" w:rsidR="00D77F47" w:rsidRPr="00C2202A" w:rsidRDefault="00D77F47" w:rsidP="005C1438">
      <w:pPr>
        <w:jc w:val="both"/>
        <w:rPr>
          <w:rFonts w:ascii="Times New Roman" w:eastAsia="Book Antiqua" w:hAnsi="Times New Roman" w:cs="Times New Roman"/>
          <w:color w:val="000000"/>
          <w:sz w:val="20"/>
          <w:szCs w:val="20"/>
          <w:lang w:val="es-ES_tradnl" w:eastAsia="es-ES_tradnl"/>
        </w:rPr>
      </w:pPr>
      <w:r w:rsidRPr="00C2202A">
        <w:rPr>
          <w:rStyle w:val="Refdenotaalpie"/>
          <w:rFonts w:ascii="Times New Roman" w:hAnsi="Times New Roman" w:cs="Times New Roman"/>
          <w:sz w:val="20"/>
          <w:szCs w:val="20"/>
        </w:rPr>
        <w:t>*</w:t>
      </w:r>
      <w:r w:rsidRPr="00C2202A">
        <w:rPr>
          <w:rFonts w:ascii="Times New Roman" w:hAnsi="Times New Roman" w:cs="Times New Roman"/>
          <w:sz w:val="20"/>
          <w:szCs w:val="20"/>
        </w:rPr>
        <w:t xml:space="preserve"> </w:t>
      </w:r>
      <w:r w:rsidR="00063027" w:rsidRPr="00C2202A">
        <w:rPr>
          <w:rFonts w:ascii="Times New Roman" w:hAnsi="Times New Roman" w:cs="Times New Roman"/>
          <w:sz w:val="20"/>
          <w:szCs w:val="20"/>
        </w:rPr>
        <w:t xml:space="preserve">Dr. </w:t>
      </w:r>
      <w:proofErr w:type="spellStart"/>
      <w:r w:rsidR="00063027" w:rsidRPr="00C2202A">
        <w:rPr>
          <w:rFonts w:ascii="Times New Roman" w:hAnsi="Times New Roman" w:cs="Times New Roman"/>
          <w:i/>
          <w:sz w:val="20"/>
          <w:szCs w:val="20"/>
        </w:rPr>
        <w:t>iur</w:t>
      </w:r>
      <w:proofErr w:type="spellEnd"/>
      <w:r w:rsidR="00063027" w:rsidRPr="00C2202A">
        <w:rPr>
          <w:rFonts w:ascii="Times New Roman" w:hAnsi="Times New Roman" w:cs="Times New Roman"/>
          <w:i/>
          <w:sz w:val="20"/>
          <w:szCs w:val="20"/>
        </w:rPr>
        <w:t>.</w:t>
      </w:r>
      <w:r w:rsidR="00063027" w:rsidRPr="00C2202A">
        <w:rPr>
          <w:rFonts w:ascii="Times New Roman" w:hAnsi="Times New Roman" w:cs="Times New Roman"/>
          <w:sz w:val="20"/>
          <w:szCs w:val="20"/>
        </w:rPr>
        <w:t xml:space="preserve"> Dr. </w:t>
      </w:r>
      <w:proofErr w:type="spellStart"/>
      <w:r w:rsidR="00063027" w:rsidRPr="00C2202A">
        <w:rPr>
          <w:rFonts w:ascii="Times New Roman" w:hAnsi="Times New Roman" w:cs="Times New Roman"/>
          <w:i/>
          <w:sz w:val="20"/>
          <w:szCs w:val="20"/>
        </w:rPr>
        <w:t>med</w:t>
      </w:r>
      <w:proofErr w:type="spellEnd"/>
      <w:r w:rsidR="00063027" w:rsidRPr="00C2202A">
        <w:rPr>
          <w:rFonts w:ascii="Times New Roman" w:hAnsi="Times New Roman" w:cs="Times New Roman"/>
          <w:i/>
          <w:sz w:val="20"/>
          <w:szCs w:val="20"/>
        </w:rPr>
        <w:t>.</w:t>
      </w:r>
      <w:r w:rsidR="00063027" w:rsidRPr="00C2202A">
        <w:rPr>
          <w:rFonts w:ascii="Times New Roman" w:hAnsi="Times New Roman" w:cs="Times New Roman"/>
          <w:sz w:val="20"/>
          <w:szCs w:val="20"/>
        </w:rPr>
        <w:t xml:space="preserve"> </w:t>
      </w:r>
      <w:r w:rsidRPr="00C2202A">
        <w:rPr>
          <w:rFonts w:ascii="Times New Roman" w:eastAsia="Book Antiqua" w:hAnsi="Times New Roman" w:cs="Times New Roman"/>
          <w:color w:val="000000"/>
          <w:sz w:val="20"/>
          <w:szCs w:val="20"/>
          <w:lang w:val="es-ES_tradnl" w:eastAsia="es-ES_tradnl"/>
        </w:rPr>
        <w:t>Catedrático de Derecho Penal (Universidad de Zaragoza). Instituto Universitario de Investigación en Empleo, Sociedad Digital y Sostenibilidad (IEDIS)</w:t>
      </w:r>
    </w:p>
  </w:footnote>
  <w:footnote w:id="2">
    <w:p w14:paraId="5FE07D42" w14:textId="19E3ED86" w:rsidR="00485B5F" w:rsidRPr="00C2202A" w:rsidRDefault="00485B5F" w:rsidP="005C1438">
      <w:pPr>
        <w:autoSpaceDE w:val="0"/>
        <w:autoSpaceDN w:val="0"/>
        <w:adjustRightInd w:val="0"/>
        <w:jc w:val="both"/>
        <w:rPr>
          <w:rFonts w:ascii="Times New Roman" w:hAnsi="Times New Roman" w:cs="Times New Roman"/>
          <w:sz w:val="20"/>
          <w:szCs w:val="20"/>
          <w:lang w:val="es-ES_tradnl"/>
        </w:rPr>
      </w:pPr>
      <w:r w:rsidRPr="00C2202A">
        <w:rPr>
          <w:rFonts w:ascii="Times New Roman" w:hAnsi="Times New Roman" w:cs="Times New Roman"/>
          <w:sz w:val="20"/>
          <w:szCs w:val="20"/>
          <w:vertAlign w:val="superscript"/>
        </w:rPr>
        <w:footnoteRef/>
      </w:r>
      <w:r w:rsidRPr="00C2202A">
        <w:rPr>
          <w:rFonts w:ascii="Times New Roman" w:eastAsia="Times New Roman" w:hAnsi="Times New Roman" w:cs="Times New Roman"/>
          <w:color w:val="000000"/>
          <w:sz w:val="20"/>
          <w:szCs w:val="20"/>
        </w:rPr>
        <w:t xml:space="preserve"> </w:t>
      </w:r>
      <w:r w:rsidRPr="00C2202A">
        <w:rPr>
          <w:rFonts w:ascii="Times New Roman" w:eastAsia="Book Antiqua" w:hAnsi="Times New Roman" w:cs="Times New Roman"/>
          <w:smallCaps/>
          <w:color w:val="000000"/>
          <w:sz w:val="20"/>
          <w:szCs w:val="20"/>
        </w:rPr>
        <w:t>Andrés-Pueyo</w:t>
      </w:r>
      <w:r w:rsidRPr="00C2202A">
        <w:rPr>
          <w:rFonts w:ascii="Times New Roman" w:eastAsia="Book Antiqua" w:hAnsi="Times New Roman" w:cs="Times New Roman"/>
          <w:color w:val="000000"/>
          <w:sz w:val="20"/>
          <w:szCs w:val="20"/>
        </w:rPr>
        <w:t>,</w:t>
      </w:r>
      <w:r w:rsidR="00A438DF" w:rsidRPr="00C2202A">
        <w:rPr>
          <w:rFonts w:ascii="Times New Roman" w:eastAsia="Book Antiqua" w:hAnsi="Times New Roman" w:cs="Times New Roman"/>
          <w:color w:val="000000"/>
          <w:sz w:val="20"/>
          <w:szCs w:val="20"/>
        </w:rPr>
        <w:t xml:space="preserve"> A.,</w:t>
      </w:r>
      <w:r w:rsidRPr="00C2202A">
        <w:rPr>
          <w:rFonts w:ascii="Times New Roman" w:eastAsia="Book Antiqua" w:hAnsi="Times New Roman" w:cs="Times New Roman"/>
          <w:color w:val="000000"/>
          <w:sz w:val="20"/>
          <w:szCs w:val="20"/>
        </w:rPr>
        <w:t xml:space="preserve"> </w:t>
      </w:r>
      <w:r w:rsidR="00A438DF" w:rsidRPr="00C2202A">
        <w:rPr>
          <w:rFonts w:ascii="Times New Roman" w:hAnsi="Times New Roman" w:cs="Times New Roman"/>
          <w:sz w:val="20"/>
          <w:szCs w:val="20"/>
          <w:lang w:val="es-ES_tradnl"/>
        </w:rPr>
        <w:t xml:space="preserve">«Peligrosidad criminal: análisis crítico de un concepto polisémico», en </w:t>
      </w:r>
      <w:r w:rsidR="00A438DF" w:rsidRPr="00C2202A">
        <w:rPr>
          <w:rFonts w:ascii="Times New Roman" w:hAnsi="Times New Roman" w:cs="Times New Roman"/>
          <w:i/>
          <w:sz w:val="20"/>
          <w:szCs w:val="20"/>
          <w:lang w:val="es-ES_tradnl"/>
        </w:rPr>
        <w:t>Neurociencias y Derecho Penal</w:t>
      </w:r>
      <w:r w:rsidR="00A438DF" w:rsidRPr="00C2202A">
        <w:rPr>
          <w:rFonts w:ascii="Times New Roman" w:hAnsi="Times New Roman" w:cs="Times New Roman"/>
          <w:sz w:val="20"/>
          <w:szCs w:val="20"/>
          <w:lang w:val="es-ES_tradnl"/>
        </w:rPr>
        <w:t xml:space="preserve">, Madrid, </w:t>
      </w:r>
      <w:proofErr w:type="spellStart"/>
      <w:r w:rsidR="00A438DF" w:rsidRPr="00C2202A">
        <w:rPr>
          <w:rFonts w:ascii="Times New Roman" w:hAnsi="Times New Roman" w:cs="Times New Roman"/>
          <w:sz w:val="20"/>
          <w:szCs w:val="20"/>
          <w:lang w:val="es-ES_tradnl"/>
        </w:rPr>
        <w:t>Edisofer</w:t>
      </w:r>
      <w:proofErr w:type="spellEnd"/>
      <w:r w:rsidR="00A438DF" w:rsidRPr="00C2202A">
        <w:rPr>
          <w:rFonts w:ascii="Times New Roman" w:hAnsi="Times New Roman" w:cs="Times New Roman"/>
          <w:sz w:val="20"/>
          <w:szCs w:val="20"/>
          <w:lang w:val="es-ES_tradnl"/>
        </w:rPr>
        <w:t>, 2013,</w:t>
      </w:r>
      <w:r w:rsidRPr="00C2202A">
        <w:rPr>
          <w:rFonts w:ascii="Times New Roman" w:eastAsia="Book Antiqua" w:hAnsi="Times New Roman" w:cs="Times New Roman"/>
          <w:color w:val="000000"/>
          <w:sz w:val="20"/>
          <w:szCs w:val="20"/>
        </w:rPr>
        <w:t xml:space="preserve"> pp. 483 y s. </w:t>
      </w:r>
    </w:p>
  </w:footnote>
  <w:footnote w:id="3">
    <w:p w14:paraId="423241A4" w14:textId="2774A7FB" w:rsidR="00485B5F" w:rsidRPr="00C2202A" w:rsidRDefault="00485B5F" w:rsidP="005C1438">
      <w:pPr>
        <w:autoSpaceDE w:val="0"/>
        <w:autoSpaceDN w:val="0"/>
        <w:adjustRightInd w:val="0"/>
        <w:jc w:val="both"/>
        <w:rPr>
          <w:rFonts w:ascii="Times New Roman" w:hAnsi="Times New Roman" w:cs="Times New Roman"/>
          <w:sz w:val="20"/>
          <w:szCs w:val="20"/>
          <w:lang w:val="es-ES_tradnl"/>
        </w:rPr>
      </w:pPr>
      <w:r w:rsidRPr="00C2202A">
        <w:rPr>
          <w:rFonts w:ascii="Times New Roman" w:hAnsi="Times New Roman" w:cs="Times New Roman"/>
          <w:sz w:val="20"/>
          <w:szCs w:val="20"/>
          <w:vertAlign w:val="superscript"/>
        </w:rPr>
        <w:footnoteRef/>
      </w:r>
      <w:r w:rsidRPr="004F1878">
        <w:rPr>
          <w:rFonts w:ascii="Times New Roman" w:eastAsia="Book Antiqua" w:hAnsi="Times New Roman" w:cs="Times New Roman"/>
          <w:color w:val="000000"/>
          <w:sz w:val="20"/>
          <w:szCs w:val="20"/>
          <w:lang w:val="en-US"/>
        </w:rPr>
        <w:t xml:space="preserve"> </w:t>
      </w:r>
      <w:r w:rsidRPr="004F1878">
        <w:rPr>
          <w:rFonts w:ascii="Times New Roman" w:eastAsia="Book Antiqua" w:hAnsi="Times New Roman" w:cs="Times New Roman"/>
          <w:smallCaps/>
          <w:color w:val="000000"/>
          <w:sz w:val="20"/>
          <w:szCs w:val="20"/>
          <w:lang w:val="en-US"/>
        </w:rPr>
        <w:t>Hamilton</w:t>
      </w:r>
      <w:r w:rsidRPr="004F1878">
        <w:rPr>
          <w:rFonts w:ascii="Times New Roman" w:eastAsia="Book Antiqua" w:hAnsi="Times New Roman" w:cs="Times New Roman"/>
          <w:color w:val="000000"/>
          <w:sz w:val="20"/>
          <w:szCs w:val="20"/>
          <w:lang w:val="en-US"/>
        </w:rPr>
        <w:t>,</w:t>
      </w:r>
      <w:r w:rsidR="00A438DF" w:rsidRPr="004F1878">
        <w:rPr>
          <w:rFonts w:ascii="Times New Roman" w:eastAsia="Book Antiqua" w:hAnsi="Times New Roman" w:cs="Times New Roman"/>
          <w:color w:val="000000"/>
          <w:sz w:val="20"/>
          <w:szCs w:val="20"/>
          <w:lang w:val="en-US"/>
        </w:rPr>
        <w:t xml:space="preserve"> M.,</w:t>
      </w:r>
      <w:r w:rsidRPr="004F1878">
        <w:rPr>
          <w:rFonts w:ascii="Times New Roman" w:eastAsia="Book Antiqua" w:hAnsi="Times New Roman" w:cs="Times New Roman"/>
          <w:color w:val="000000"/>
          <w:sz w:val="20"/>
          <w:szCs w:val="20"/>
          <w:lang w:val="en-US"/>
        </w:rPr>
        <w:t xml:space="preserve"> </w:t>
      </w:r>
      <w:r w:rsidR="00A438DF" w:rsidRPr="004F1878">
        <w:rPr>
          <w:rFonts w:ascii="Times New Roman" w:hAnsi="Times New Roman" w:cs="Times New Roman"/>
          <w:sz w:val="20"/>
          <w:szCs w:val="20"/>
          <w:lang w:val="en-US"/>
        </w:rPr>
        <w:t xml:space="preserve">«Risk-Needs Assessment: Constitutional and Ethical Challenges», </w:t>
      </w:r>
      <w:r w:rsidR="00A438DF" w:rsidRPr="004F1878">
        <w:rPr>
          <w:rFonts w:ascii="Times New Roman" w:hAnsi="Times New Roman" w:cs="Times New Roman"/>
          <w:i/>
          <w:sz w:val="20"/>
          <w:szCs w:val="20"/>
          <w:lang w:val="en-US"/>
        </w:rPr>
        <w:t>American Law Review</w:t>
      </w:r>
      <w:r w:rsidR="00A438DF" w:rsidRPr="004F1878">
        <w:rPr>
          <w:rFonts w:ascii="Times New Roman" w:hAnsi="Times New Roman" w:cs="Times New Roman"/>
          <w:sz w:val="20"/>
          <w:szCs w:val="20"/>
          <w:lang w:val="en-US"/>
        </w:rPr>
        <w:t xml:space="preserve">, vol. 52, </w:t>
      </w:r>
      <w:proofErr w:type="spellStart"/>
      <w:r w:rsidR="00A438DF" w:rsidRPr="004F1878">
        <w:rPr>
          <w:rFonts w:ascii="Times New Roman" w:hAnsi="Times New Roman" w:cs="Times New Roman"/>
          <w:sz w:val="20"/>
          <w:szCs w:val="20"/>
          <w:lang w:val="en-US"/>
        </w:rPr>
        <w:t>núm</w:t>
      </w:r>
      <w:proofErr w:type="spellEnd"/>
      <w:r w:rsidR="00A438DF" w:rsidRPr="004F1878">
        <w:rPr>
          <w:rFonts w:ascii="Times New Roman" w:hAnsi="Times New Roman" w:cs="Times New Roman"/>
          <w:sz w:val="20"/>
          <w:szCs w:val="20"/>
          <w:lang w:val="en-US"/>
        </w:rPr>
        <w:t>. 2</w:t>
      </w:r>
      <w:r w:rsidRPr="004F1878">
        <w:rPr>
          <w:rFonts w:ascii="Times New Roman" w:eastAsia="Book Antiqua" w:hAnsi="Times New Roman" w:cs="Times New Roman"/>
          <w:color w:val="000000"/>
          <w:sz w:val="20"/>
          <w:szCs w:val="20"/>
          <w:lang w:val="en-US"/>
        </w:rPr>
        <w:t>,</w:t>
      </w:r>
      <w:r w:rsidR="00A438DF" w:rsidRPr="004F1878">
        <w:rPr>
          <w:rFonts w:ascii="Times New Roman" w:eastAsia="Book Antiqua" w:hAnsi="Times New Roman" w:cs="Times New Roman"/>
          <w:color w:val="000000"/>
          <w:sz w:val="20"/>
          <w:szCs w:val="20"/>
          <w:lang w:val="en-US"/>
        </w:rPr>
        <w:t xml:space="preserve"> 2015,</w:t>
      </w:r>
      <w:r w:rsidRPr="004F1878">
        <w:rPr>
          <w:rFonts w:ascii="Times New Roman" w:eastAsia="Book Antiqua" w:hAnsi="Times New Roman" w:cs="Times New Roman"/>
          <w:color w:val="000000"/>
          <w:sz w:val="20"/>
          <w:szCs w:val="20"/>
          <w:lang w:val="en-US"/>
        </w:rPr>
        <w:t xml:space="preserve"> pp. 236-239. </w:t>
      </w:r>
      <w:proofErr w:type="spellStart"/>
      <w:r w:rsidRPr="004F1878">
        <w:rPr>
          <w:rFonts w:ascii="Times New Roman" w:eastAsia="Book Antiqua" w:hAnsi="Times New Roman" w:cs="Times New Roman"/>
          <w:color w:val="000000"/>
          <w:sz w:val="20"/>
          <w:szCs w:val="20"/>
          <w:lang w:val="en-US"/>
        </w:rPr>
        <w:t>En</w:t>
      </w:r>
      <w:proofErr w:type="spellEnd"/>
      <w:r w:rsidRPr="004F1878">
        <w:rPr>
          <w:rFonts w:ascii="Times New Roman" w:eastAsia="Book Antiqua" w:hAnsi="Times New Roman" w:cs="Times New Roman"/>
          <w:color w:val="000000"/>
          <w:sz w:val="20"/>
          <w:szCs w:val="20"/>
          <w:lang w:val="en-US"/>
        </w:rPr>
        <w:t xml:space="preserve"> el </w:t>
      </w:r>
      <w:proofErr w:type="spellStart"/>
      <w:r w:rsidRPr="004F1878">
        <w:rPr>
          <w:rFonts w:ascii="Times New Roman" w:eastAsia="Book Antiqua" w:hAnsi="Times New Roman" w:cs="Times New Roman"/>
          <w:color w:val="000000"/>
          <w:sz w:val="20"/>
          <w:szCs w:val="20"/>
          <w:lang w:val="en-US"/>
        </w:rPr>
        <w:t>mismo</w:t>
      </w:r>
      <w:proofErr w:type="spellEnd"/>
      <w:r w:rsidRPr="004F1878">
        <w:rPr>
          <w:rFonts w:ascii="Times New Roman" w:eastAsia="Book Antiqua" w:hAnsi="Times New Roman" w:cs="Times New Roman"/>
          <w:color w:val="000000"/>
          <w:sz w:val="20"/>
          <w:szCs w:val="20"/>
          <w:lang w:val="en-US"/>
        </w:rPr>
        <w:t xml:space="preserve"> </w:t>
      </w:r>
      <w:proofErr w:type="spellStart"/>
      <w:r w:rsidRPr="004F1878">
        <w:rPr>
          <w:rFonts w:ascii="Times New Roman" w:eastAsia="Book Antiqua" w:hAnsi="Times New Roman" w:cs="Times New Roman"/>
          <w:color w:val="000000"/>
          <w:sz w:val="20"/>
          <w:szCs w:val="20"/>
          <w:lang w:val="en-US"/>
        </w:rPr>
        <w:t>sentido</w:t>
      </w:r>
      <w:proofErr w:type="spellEnd"/>
      <w:r w:rsidRPr="004F1878">
        <w:rPr>
          <w:rFonts w:ascii="Times New Roman" w:eastAsia="Book Antiqua" w:hAnsi="Times New Roman" w:cs="Times New Roman"/>
          <w:color w:val="000000"/>
          <w:sz w:val="20"/>
          <w:szCs w:val="20"/>
          <w:lang w:val="en-US"/>
        </w:rPr>
        <w:t xml:space="preserve">, </w:t>
      </w:r>
      <w:r w:rsidRPr="004F1878">
        <w:rPr>
          <w:rFonts w:ascii="Times New Roman" w:eastAsia="Book Antiqua" w:hAnsi="Times New Roman" w:cs="Times New Roman"/>
          <w:smallCaps/>
          <w:color w:val="000000"/>
          <w:sz w:val="20"/>
          <w:szCs w:val="20"/>
          <w:lang w:val="en-US"/>
        </w:rPr>
        <w:t>Brennan,</w:t>
      </w:r>
      <w:r w:rsidR="00A438DF" w:rsidRPr="004F1878">
        <w:rPr>
          <w:rFonts w:ascii="Times New Roman" w:eastAsia="Book Antiqua" w:hAnsi="Times New Roman" w:cs="Times New Roman"/>
          <w:smallCaps/>
          <w:color w:val="000000"/>
          <w:sz w:val="20"/>
          <w:szCs w:val="20"/>
          <w:lang w:val="en-US"/>
        </w:rPr>
        <w:t xml:space="preserve"> T./</w:t>
      </w:r>
      <w:r w:rsidRPr="004F1878">
        <w:rPr>
          <w:rFonts w:ascii="Times New Roman" w:eastAsia="Book Antiqua" w:hAnsi="Times New Roman" w:cs="Times New Roman"/>
          <w:smallCaps/>
          <w:color w:val="000000"/>
          <w:sz w:val="20"/>
          <w:szCs w:val="20"/>
          <w:lang w:val="en-US"/>
        </w:rPr>
        <w:t xml:space="preserve"> Dieterich</w:t>
      </w:r>
      <w:r w:rsidR="00A438DF" w:rsidRPr="004F1878">
        <w:rPr>
          <w:rFonts w:ascii="Times New Roman" w:eastAsia="Book Antiqua" w:hAnsi="Times New Roman" w:cs="Times New Roman"/>
          <w:smallCaps/>
          <w:color w:val="000000"/>
          <w:sz w:val="20"/>
          <w:szCs w:val="20"/>
          <w:lang w:val="en-US"/>
        </w:rPr>
        <w:t>, W./</w:t>
      </w:r>
      <w:r w:rsidRPr="004F1878">
        <w:rPr>
          <w:rFonts w:ascii="Times New Roman" w:eastAsia="Book Antiqua" w:hAnsi="Times New Roman" w:cs="Times New Roman"/>
          <w:smallCaps/>
          <w:color w:val="000000"/>
          <w:sz w:val="20"/>
          <w:szCs w:val="20"/>
          <w:lang w:val="en-US"/>
        </w:rPr>
        <w:t xml:space="preserve"> Ehret</w:t>
      </w:r>
      <w:r w:rsidRPr="004F1878">
        <w:rPr>
          <w:rFonts w:ascii="Times New Roman" w:eastAsia="Book Antiqua" w:hAnsi="Times New Roman" w:cs="Times New Roman"/>
          <w:color w:val="000000"/>
          <w:sz w:val="20"/>
          <w:szCs w:val="20"/>
          <w:lang w:val="en-US"/>
        </w:rPr>
        <w:t>,</w:t>
      </w:r>
      <w:r w:rsidR="00A438DF" w:rsidRPr="004F1878">
        <w:rPr>
          <w:rFonts w:ascii="Times New Roman" w:eastAsia="Book Antiqua" w:hAnsi="Times New Roman" w:cs="Times New Roman"/>
          <w:color w:val="000000"/>
          <w:sz w:val="20"/>
          <w:szCs w:val="20"/>
          <w:lang w:val="en-US"/>
        </w:rPr>
        <w:t xml:space="preserve"> B., </w:t>
      </w:r>
      <w:r w:rsidR="00A438DF" w:rsidRPr="004F1878">
        <w:rPr>
          <w:rFonts w:ascii="Times New Roman" w:hAnsi="Times New Roman" w:cs="Times New Roman"/>
          <w:sz w:val="20"/>
          <w:szCs w:val="20"/>
          <w:lang w:val="en-US"/>
        </w:rPr>
        <w:t xml:space="preserve">«Evaluating the predictive validity of the COMPAS Risk and Needs Assessment System», </w:t>
      </w:r>
      <w:r w:rsidR="00A438DF" w:rsidRPr="004F1878">
        <w:rPr>
          <w:rFonts w:ascii="Times New Roman" w:hAnsi="Times New Roman" w:cs="Times New Roman"/>
          <w:i/>
          <w:sz w:val="20"/>
          <w:szCs w:val="20"/>
          <w:lang w:val="en-US"/>
        </w:rPr>
        <w:t>Criminal Justice and Behavior</w:t>
      </w:r>
      <w:r w:rsidR="00A438DF" w:rsidRPr="004F1878">
        <w:rPr>
          <w:rFonts w:ascii="Times New Roman" w:hAnsi="Times New Roman" w:cs="Times New Roman"/>
          <w:sz w:val="20"/>
          <w:szCs w:val="20"/>
          <w:lang w:val="en-US"/>
        </w:rPr>
        <w:t xml:space="preserve">, vol. 36, </w:t>
      </w:r>
      <w:proofErr w:type="spellStart"/>
      <w:r w:rsidR="00A438DF" w:rsidRPr="004F1878">
        <w:rPr>
          <w:rFonts w:ascii="Times New Roman" w:hAnsi="Times New Roman" w:cs="Times New Roman"/>
          <w:sz w:val="20"/>
          <w:szCs w:val="20"/>
          <w:lang w:val="en-US"/>
        </w:rPr>
        <w:t>núm</w:t>
      </w:r>
      <w:proofErr w:type="spellEnd"/>
      <w:r w:rsidR="00A438DF" w:rsidRPr="004F1878">
        <w:rPr>
          <w:rFonts w:ascii="Times New Roman" w:hAnsi="Times New Roman" w:cs="Times New Roman"/>
          <w:sz w:val="20"/>
          <w:szCs w:val="20"/>
          <w:lang w:val="en-US"/>
        </w:rPr>
        <w:t>. 1</w:t>
      </w:r>
      <w:r w:rsidR="006F3DC2">
        <w:rPr>
          <w:rFonts w:ascii="Times New Roman" w:hAnsi="Times New Roman" w:cs="Times New Roman"/>
          <w:sz w:val="20"/>
          <w:szCs w:val="20"/>
          <w:lang w:val="en-US"/>
        </w:rPr>
        <w:t>,</w:t>
      </w:r>
      <w:r w:rsidRPr="004F1878">
        <w:rPr>
          <w:rFonts w:ascii="Times New Roman" w:eastAsia="Book Antiqua" w:hAnsi="Times New Roman" w:cs="Times New Roman"/>
          <w:color w:val="000000"/>
          <w:sz w:val="20"/>
          <w:szCs w:val="20"/>
          <w:lang w:val="en-US"/>
        </w:rPr>
        <w:t xml:space="preserve"> </w:t>
      </w:r>
      <w:r w:rsidRPr="00C2202A">
        <w:rPr>
          <w:rFonts w:ascii="Times New Roman" w:eastAsia="Book Antiqua" w:hAnsi="Times New Roman" w:cs="Times New Roman"/>
          <w:color w:val="000000"/>
          <w:sz w:val="20"/>
          <w:szCs w:val="20"/>
        </w:rPr>
        <w:t xml:space="preserve">2009, pp. 1-2. </w:t>
      </w:r>
    </w:p>
  </w:footnote>
  <w:footnote w:id="4">
    <w:p w14:paraId="1D0D034D" w14:textId="0BE5C1D2" w:rsidR="00485B5F" w:rsidRPr="00C2202A" w:rsidRDefault="00485B5F" w:rsidP="005C1438">
      <w:pPr>
        <w:autoSpaceDE w:val="0"/>
        <w:autoSpaceDN w:val="0"/>
        <w:adjustRightInd w:val="0"/>
        <w:jc w:val="both"/>
        <w:rPr>
          <w:rFonts w:ascii="Times New Roman" w:hAnsi="Times New Roman" w:cs="Times New Roman"/>
          <w:sz w:val="20"/>
          <w:szCs w:val="20"/>
          <w:lang w:val="es-ES_tradnl"/>
        </w:rPr>
      </w:pPr>
      <w:r w:rsidRPr="00C2202A">
        <w:rPr>
          <w:rFonts w:ascii="Times New Roman" w:hAnsi="Times New Roman" w:cs="Times New Roman"/>
          <w:sz w:val="20"/>
          <w:szCs w:val="20"/>
          <w:vertAlign w:val="superscript"/>
        </w:rPr>
        <w:footnoteRef/>
      </w:r>
      <w:r w:rsidRPr="00C2202A">
        <w:rPr>
          <w:rFonts w:ascii="Times New Roman" w:eastAsia="Book Antiqua" w:hAnsi="Times New Roman" w:cs="Times New Roman"/>
          <w:color w:val="000000"/>
          <w:sz w:val="20"/>
          <w:szCs w:val="20"/>
        </w:rPr>
        <w:t xml:space="preserve"> En la doctrina médico-legal española, uno de sus más ilustres representantes, </w:t>
      </w:r>
      <w:proofErr w:type="spellStart"/>
      <w:r w:rsidRPr="00C2202A">
        <w:rPr>
          <w:rFonts w:ascii="Times New Roman" w:eastAsia="Book Antiqua" w:hAnsi="Times New Roman" w:cs="Times New Roman"/>
          <w:smallCaps/>
          <w:color w:val="000000"/>
          <w:sz w:val="20"/>
          <w:szCs w:val="20"/>
        </w:rPr>
        <w:t>Esbec</w:t>
      </w:r>
      <w:proofErr w:type="spellEnd"/>
      <w:r w:rsidRPr="00C2202A">
        <w:rPr>
          <w:rFonts w:ascii="Times New Roman" w:eastAsia="Book Antiqua" w:hAnsi="Times New Roman" w:cs="Times New Roman"/>
          <w:smallCaps/>
          <w:color w:val="000000"/>
          <w:sz w:val="20"/>
          <w:szCs w:val="20"/>
        </w:rPr>
        <w:t xml:space="preserve"> Rodríguez</w:t>
      </w:r>
      <w:r w:rsidRPr="00C2202A">
        <w:rPr>
          <w:rFonts w:ascii="Times New Roman" w:eastAsia="Book Antiqua" w:hAnsi="Times New Roman" w:cs="Times New Roman"/>
          <w:color w:val="000000"/>
          <w:sz w:val="20"/>
          <w:szCs w:val="20"/>
        </w:rPr>
        <w:t>, hace referencia a cinco generaciones en el diagnóstico de la peligrosidad/riesgo de violencia. (</w:t>
      </w:r>
      <w:proofErr w:type="spellStart"/>
      <w:r w:rsidRPr="00C2202A">
        <w:rPr>
          <w:rFonts w:ascii="Times New Roman" w:eastAsia="Book Antiqua" w:hAnsi="Times New Roman" w:cs="Times New Roman"/>
          <w:smallCaps/>
          <w:color w:val="000000"/>
          <w:sz w:val="20"/>
          <w:szCs w:val="20"/>
        </w:rPr>
        <w:t>Esbec</w:t>
      </w:r>
      <w:proofErr w:type="spellEnd"/>
      <w:r w:rsidRPr="00C2202A">
        <w:rPr>
          <w:rFonts w:ascii="Times New Roman" w:eastAsia="Book Antiqua" w:hAnsi="Times New Roman" w:cs="Times New Roman"/>
          <w:smallCaps/>
          <w:color w:val="000000"/>
          <w:sz w:val="20"/>
          <w:szCs w:val="20"/>
        </w:rPr>
        <w:t xml:space="preserve"> Rodríguez</w:t>
      </w:r>
      <w:r w:rsidRPr="00C2202A">
        <w:rPr>
          <w:rFonts w:ascii="Times New Roman" w:eastAsia="Book Antiqua" w:hAnsi="Times New Roman" w:cs="Times New Roman"/>
          <w:color w:val="000000"/>
          <w:sz w:val="20"/>
          <w:szCs w:val="20"/>
        </w:rPr>
        <w:t>,</w:t>
      </w:r>
      <w:r w:rsidR="00A438DF" w:rsidRPr="00C2202A">
        <w:rPr>
          <w:rFonts w:ascii="Times New Roman" w:eastAsia="Book Antiqua" w:hAnsi="Times New Roman" w:cs="Times New Roman"/>
          <w:color w:val="000000"/>
          <w:sz w:val="20"/>
          <w:szCs w:val="20"/>
        </w:rPr>
        <w:t xml:space="preserve"> E., </w:t>
      </w:r>
      <w:r w:rsidR="00A438DF" w:rsidRPr="00C2202A">
        <w:rPr>
          <w:rFonts w:ascii="Times New Roman" w:hAnsi="Times New Roman" w:cs="Times New Roman"/>
          <w:sz w:val="20"/>
          <w:szCs w:val="20"/>
          <w:lang w:val="es-ES_tradnl"/>
        </w:rPr>
        <w:t xml:space="preserve">«Valoración de la peligrosidad criminal (Riesgo-Violencia) en Psicología Forense. Aproximación conceptual e histórica», </w:t>
      </w:r>
      <w:r w:rsidR="00A438DF" w:rsidRPr="00C2202A">
        <w:rPr>
          <w:rFonts w:ascii="Times New Roman" w:hAnsi="Times New Roman" w:cs="Times New Roman"/>
          <w:i/>
          <w:sz w:val="20"/>
          <w:szCs w:val="20"/>
          <w:lang w:val="es-ES_tradnl"/>
        </w:rPr>
        <w:t>Psicología Clínica Legal y Forense</w:t>
      </w:r>
      <w:r w:rsidR="00A438DF" w:rsidRPr="00C2202A">
        <w:rPr>
          <w:rFonts w:ascii="Times New Roman" w:hAnsi="Times New Roman" w:cs="Times New Roman"/>
          <w:sz w:val="20"/>
          <w:szCs w:val="20"/>
          <w:lang w:val="es-ES_tradnl"/>
        </w:rPr>
        <w:t>, vol. 3, núm. 2,</w:t>
      </w:r>
      <w:r w:rsidRPr="00C2202A">
        <w:rPr>
          <w:rFonts w:ascii="Times New Roman" w:eastAsia="Book Antiqua" w:hAnsi="Times New Roman" w:cs="Times New Roman"/>
          <w:color w:val="000000"/>
          <w:sz w:val="20"/>
          <w:szCs w:val="20"/>
        </w:rPr>
        <w:t xml:space="preserve"> 2003, pp. 52 y ss.). </w:t>
      </w:r>
    </w:p>
  </w:footnote>
  <w:footnote w:id="5">
    <w:p w14:paraId="36766E46" w14:textId="16656648" w:rsidR="00485B5F" w:rsidRPr="00C2202A" w:rsidRDefault="00485B5F" w:rsidP="005C1438">
      <w:pPr>
        <w:autoSpaceDE w:val="0"/>
        <w:autoSpaceDN w:val="0"/>
        <w:adjustRightInd w:val="0"/>
        <w:jc w:val="both"/>
        <w:rPr>
          <w:rFonts w:ascii="Times New Roman" w:hAnsi="Times New Roman" w:cs="Times New Roman"/>
          <w:sz w:val="20"/>
          <w:szCs w:val="20"/>
          <w:lang w:val="es-ES_tradnl"/>
        </w:rPr>
      </w:pPr>
      <w:r w:rsidRPr="00C2202A">
        <w:rPr>
          <w:rFonts w:ascii="Times New Roman" w:hAnsi="Times New Roman" w:cs="Times New Roman"/>
          <w:sz w:val="20"/>
          <w:szCs w:val="20"/>
          <w:vertAlign w:val="superscript"/>
        </w:rPr>
        <w:footnoteRef/>
      </w:r>
      <w:r w:rsidRPr="00C2202A">
        <w:rPr>
          <w:rFonts w:ascii="Times New Roman" w:eastAsia="Book Antiqua" w:hAnsi="Times New Roman" w:cs="Times New Roman"/>
          <w:color w:val="000000"/>
          <w:sz w:val="20"/>
          <w:szCs w:val="20"/>
        </w:rPr>
        <w:t xml:space="preserve"> Para un análisis de las principales herramientas de evaluación del riesgo de violencia, véase </w:t>
      </w:r>
      <w:r w:rsidRPr="00C2202A">
        <w:rPr>
          <w:rFonts w:ascii="Times New Roman" w:eastAsia="Book Antiqua" w:hAnsi="Times New Roman" w:cs="Times New Roman"/>
          <w:smallCaps/>
          <w:color w:val="000000"/>
          <w:sz w:val="20"/>
          <w:szCs w:val="20"/>
        </w:rPr>
        <w:t>Loinaz</w:t>
      </w:r>
      <w:r w:rsidRPr="00C2202A">
        <w:rPr>
          <w:rFonts w:ascii="Times New Roman" w:eastAsia="Book Antiqua" w:hAnsi="Times New Roman" w:cs="Times New Roman"/>
          <w:color w:val="000000"/>
          <w:sz w:val="20"/>
          <w:szCs w:val="20"/>
        </w:rPr>
        <w:t>,</w:t>
      </w:r>
      <w:r w:rsidR="00DA001F" w:rsidRPr="00C2202A">
        <w:rPr>
          <w:rFonts w:ascii="Times New Roman" w:eastAsia="Book Antiqua" w:hAnsi="Times New Roman" w:cs="Times New Roman"/>
          <w:color w:val="000000"/>
          <w:sz w:val="20"/>
          <w:szCs w:val="20"/>
        </w:rPr>
        <w:t xml:space="preserve"> I., </w:t>
      </w:r>
      <w:r w:rsidR="00DA001F" w:rsidRPr="00C2202A">
        <w:rPr>
          <w:rFonts w:ascii="Times New Roman" w:hAnsi="Times New Roman" w:cs="Times New Roman"/>
          <w:i/>
          <w:sz w:val="20"/>
          <w:szCs w:val="20"/>
          <w:lang w:val="es-ES_tradnl"/>
        </w:rPr>
        <w:t>Manual de evaluación del riesgo de violencia</w:t>
      </w:r>
      <w:r w:rsidR="00DA001F" w:rsidRPr="00C2202A">
        <w:rPr>
          <w:rFonts w:ascii="Times New Roman" w:hAnsi="Times New Roman" w:cs="Times New Roman"/>
          <w:sz w:val="20"/>
          <w:szCs w:val="20"/>
          <w:lang w:val="es-ES_tradnl"/>
        </w:rPr>
        <w:t>, Pirámide, Madrid,</w:t>
      </w:r>
      <w:r w:rsidRPr="00C2202A">
        <w:rPr>
          <w:rFonts w:ascii="Times New Roman" w:eastAsia="Book Antiqua" w:hAnsi="Times New Roman" w:cs="Times New Roman"/>
          <w:color w:val="000000"/>
          <w:sz w:val="20"/>
          <w:szCs w:val="20"/>
        </w:rPr>
        <w:t xml:space="preserve"> 2017, pp. 145 y ss.; </w:t>
      </w:r>
      <w:proofErr w:type="spellStart"/>
      <w:r w:rsidRPr="00C2202A">
        <w:rPr>
          <w:rFonts w:ascii="Times New Roman" w:eastAsia="Book Antiqua" w:hAnsi="Times New Roman" w:cs="Times New Roman"/>
          <w:smallCaps/>
          <w:color w:val="000000"/>
          <w:sz w:val="20"/>
          <w:szCs w:val="20"/>
        </w:rPr>
        <w:t>Armaza</w:t>
      </w:r>
      <w:proofErr w:type="spellEnd"/>
      <w:r w:rsidRPr="00C2202A">
        <w:rPr>
          <w:rFonts w:ascii="Times New Roman" w:eastAsia="Book Antiqua" w:hAnsi="Times New Roman" w:cs="Times New Roman"/>
          <w:smallCaps/>
          <w:color w:val="000000"/>
          <w:sz w:val="20"/>
          <w:szCs w:val="20"/>
        </w:rPr>
        <w:t xml:space="preserve"> </w:t>
      </w:r>
      <w:proofErr w:type="spellStart"/>
      <w:r w:rsidRPr="00C2202A">
        <w:rPr>
          <w:rFonts w:ascii="Times New Roman" w:eastAsia="Book Antiqua" w:hAnsi="Times New Roman" w:cs="Times New Roman"/>
          <w:smallCaps/>
          <w:color w:val="000000"/>
          <w:sz w:val="20"/>
          <w:szCs w:val="20"/>
        </w:rPr>
        <w:t>Armaza</w:t>
      </w:r>
      <w:proofErr w:type="spellEnd"/>
      <w:r w:rsidRPr="00C2202A">
        <w:rPr>
          <w:rFonts w:ascii="Times New Roman" w:eastAsia="Book Antiqua" w:hAnsi="Times New Roman" w:cs="Times New Roman"/>
          <w:color w:val="000000"/>
          <w:sz w:val="20"/>
          <w:szCs w:val="20"/>
        </w:rPr>
        <w:t>,</w:t>
      </w:r>
      <w:r w:rsidR="00DA001F" w:rsidRPr="00C2202A">
        <w:rPr>
          <w:rFonts w:ascii="Times New Roman" w:eastAsia="Book Antiqua" w:hAnsi="Times New Roman" w:cs="Times New Roman"/>
          <w:color w:val="000000"/>
          <w:sz w:val="20"/>
          <w:szCs w:val="20"/>
        </w:rPr>
        <w:t xml:space="preserve"> E.J., </w:t>
      </w:r>
      <w:r w:rsidR="00DA001F" w:rsidRPr="00C2202A">
        <w:rPr>
          <w:rFonts w:ascii="Times New Roman" w:hAnsi="Times New Roman" w:cs="Times New Roman"/>
          <w:i/>
          <w:sz w:val="20"/>
          <w:szCs w:val="20"/>
          <w:lang w:val="es-ES_tradnl"/>
        </w:rPr>
        <w:t>El tratamiento del delincuente imputable peligroso</w:t>
      </w:r>
      <w:r w:rsidR="00DA001F" w:rsidRPr="00C2202A">
        <w:rPr>
          <w:rFonts w:ascii="Times New Roman" w:hAnsi="Times New Roman" w:cs="Times New Roman"/>
          <w:sz w:val="20"/>
          <w:szCs w:val="20"/>
          <w:lang w:val="es-ES_tradnl"/>
        </w:rPr>
        <w:t xml:space="preserve">, </w:t>
      </w:r>
      <w:proofErr w:type="spellStart"/>
      <w:r w:rsidR="00DA001F" w:rsidRPr="00C2202A">
        <w:rPr>
          <w:rFonts w:ascii="Times New Roman" w:hAnsi="Times New Roman" w:cs="Times New Roman"/>
          <w:sz w:val="20"/>
          <w:szCs w:val="20"/>
          <w:lang w:val="es-ES_tradnl"/>
        </w:rPr>
        <w:t>Comares</w:t>
      </w:r>
      <w:proofErr w:type="spellEnd"/>
      <w:r w:rsidR="00DA001F" w:rsidRPr="00C2202A">
        <w:rPr>
          <w:rFonts w:ascii="Times New Roman" w:hAnsi="Times New Roman" w:cs="Times New Roman"/>
          <w:sz w:val="20"/>
          <w:szCs w:val="20"/>
          <w:lang w:val="es-ES_tradnl"/>
        </w:rPr>
        <w:t>, Granada</w:t>
      </w:r>
      <w:r w:rsidR="00B0362D">
        <w:rPr>
          <w:rFonts w:ascii="Times New Roman" w:hAnsi="Times New Roman" w:cs="Times New Roman"/>
          <w:sz w:val="20"/>
          <w:szCs w:val="20"/>
          <w:lang w:val="es-ES_tradnl"/>
        </w:rPr>
        <w:t>,</w:t>
      </w:r>
      <w:r w:rsidRPr="00C2202A">
        <w:rPr>
          <w:rFonts w:ascii="Times New Roman" w:eastAsia="Book Antiqua" w:hAnsi="Times New Roman" w:cs="Times New Roman"/>
          <w:color w:val="000000"/>
          <w:sz w:val="20"/>
          <w:szCs w:val="20"/>
        </w:rPr>
        <w:t xml:space="preserve"> 2013, pp. 98 y ss. </w:t>
      </w:r>
    </w:p>
  </w:footnote>
  <w:footnote w:id="6">
    <w:p w14:paraId="7871446D" w14:textId="43A2BCC0" w:rsidR="00485B5F" w:rsidRPr="00C2202A" w:rsidRDefault="00485B5F" w:rsidP="005C1438">
      <w:pPr>
        <w:autoSpaceDE w:val="0"/>
        <w:autoSpaceDN w:val="0"/>
        <w:adjustRightInd w:val="0"/>
        <w:jc w:val="both"/>
        <w:rPr>
          <w:rFonts w:ascii="Times New Roman" w:hAnsi="Times New Roman" w:cs="Times New Roman"/>
          <w:sz w:val="20"/>
          <w:szCs w:val="20"/>
          <w:lang w:val="es-ES_tradnl"/>
        </w:rPr>
      </w:pPr>
      <w:r w:rsidRPr="00C2202A">
        <w:rPr>
          <w:rFonts w:ascii="Times New Roman" w:hAnsi="Times New Roman" w:cs="Times New Roman"/>
          <w:sz w:val="20"/>
          <w:szCs w:val="20"/>
          <w:vertAlign w:val="superscript"/>
        </w:rPr>
        <w:footnoteRef/>
      </w:r>
      <w:r w:rsidRPr="00C2202A">
        <w:rPr>
          <w:rFonts w:ascii="Times New Roman" w:eastAsia="Book Antiqua" w:hAnsi="Times New Roman" w:cs="Times New Roman"/>
          <w:color w:val="000000"/>
          <w:sz w:val="20"/>
          <w:szCs w:val="20"/>
        </w:rPr>
        <w:t xml:space="preserve"> COMPAS es un algoritmo propiedad de la empresa </w:t>
      </w:r>
      <w:proofErr w:type="spellStart"/>
      <w:r w:rsidRPr="00C2202A">
        <w:rPr>
          <w:rFonts w:ascii="Times New Roman" w:eastAsia="Book Antiqua" w:hAnsi="Times New Roman" w:cs="Times New Roman"/>
          <w:i/>
          <w:color w:val="000000"/>
          <w:sz w:val="20"/>
          <w:szCs w:val="20"/>
        </w:rPr>
        <w:t>Equivant</w:t>
      </w:r>
      <w:proofErr w:type="spellEnd"/>
      <w:r w:rsidRPr="00C2202A">
        <w:rPr>
          <w:rFonts w:ascii="Times New Roman" w:eastAsia="Book Antiqua" w:hAnsi="Times New Roman" w:cs="Times New Roman"/>
          <w:color w:val="000000"/>
          <w:sz w:val="20"/>
          <w:szCs w:val="20"/>
        </w:rPr>
        <w:t xml:space="preserve"> (previamente </w:t>
      </w:r>
      <w:proofErr w:type="spellStart"/>
      <w:r w:rsidRPr="00C2202A">
        <w:rPr>
          <w:rFonts w:ascii="Times New Roman" w:eastAsia="Book Antiqua" w:hAnsi="Times New Roman" w:cs="Times New Roman"/>
          <w:i/>
          <w:color w:val="000000"/>
          <w:sz w:val="20"/>
          <w:szCs w:val="20"/>
        </w:rPr>
        <w:t>Northpointe</w:t>
      </w:r>
      <w:proofErr w:type="spellEnd"/>
      <w:r w:rsidRPr="00C2202A">
        <w:rPr>
          <w:rFonts w:ascii="Times New Roman" w:eastAsia="Book Antiqua" w:hAnsi="Times New Roman" w:cs="Times New Roman"/>
          <w:i/>
          <w:color w:val="000000"/>
          <w:sz w:val="20"/>
          <w:szCs w:val="20"/>
        </w:rPr>
        <w:t>, Inc.)</w:t>
      </w:r>
      <w:r w:rsidRPr="00C2202A">
        <w:rPr>
          <w:rFonts w:ascii="Times New Roman" w:eastAsia="Book Antiqua" w:hAnsi="Times New Roman" w:cs="Times New Roman"/>
          <w:color w:val="000000"/>
          <w:sz w:val="20"/>
          <w:szCs w:val="20"/>
        </w:rPr>
        <w:t xml:space="preserve"> dirigido a predecir el riesgo de reincidencia individual sobre la base de un análisis que implica el empleo de información extraída de un cuestionario compuesto por 137 ítems divididos en diferentes secciones, así como de información derivada de los registros penales del sujeto. La evaluación de riesgo producida con base en COMPAS se funda en información obtenida del historial criminal, así como en una entrevista con el acusado (ROMEO,</w:t>
      </w:r>
      <w:r w:rsidR="00DA001F" w:rsidRPr="00C2202A">
        <w:rPr>
          <w:rFonts w:ascii="Times New Roman" w:eastAsia="Book Antiqua" w:hAnsi="Times New Roman" w:cs="Times New Roman"/>
          <w:color w:val="000000"/>
          <w:sz w:val="20"/>
          <w:szCs w:val="20"/>
        </w:rPr>
        <w:t xml:space="preserve"> C.M., </w:t>
      </w:r>
      <w:r w:rsidR="00DA001F" w:rsidRPr="00C2202A">
        <w:rPr>
          <w:rFonts w:ascii="Times New Roman" w:hAnsi="Times New Roman" w:cs="Times New Roman"/>
          <w:sz w:val="20"/>
          <w:szCs w:val="20"/>
          <w:lang w:val="es-ES_tradnl"/>
        </w:rPr>
        <w:t xml:space="preserve">«Riesgo, procedimientos actuariales basados en inteligencia artificial y medidas de seguridad», </w:t>
      </w:r>
      <w:r w:rsidR="00DA001F" w:rsidRPr="00C2202A">
        <w:rPr>
          <w:rFonts w:ascii="Times New Roman" w:hAnsi="Times New Roman" w:cs="Times New Roman"/>
          <w:i/>
          <w:sz w:val="20"/>
          <w:szCs w:val="20"/>
          <w:lang w:val="es-ES_tradnl"/>
        </w:rPr>
        <w:t>Revista Penal,</w:t>
      </w:r>
      <w:r w:rsidR="00DA001F" w:rsidRPr="00C2202A">
        <w:rPr>
          <w:rFonts w:ascii="Times New Roman" w:hAnsi="Times New Roman" w:cs="Times New Roman"/>
          <w:sz w:val="20"/>
          <w:szCs w:val="20"/>
          <w:lang w:val="es-ES_tradnl"/>
        </w:rPr>
        <w:t xml:space="preserve"> núm. 42, </w:t>
      </w:r>
      <w:r w:rsidRPr="00C2202A">
        <w:rPr>
          <w:rFonts w:ascii="Times New Roman" w:eastAsia="Book Antiqua" w:hAnsi="Times New Roman" w:cs="Times New Roman"/>
          <w:color w:val="000000"/>
          <w:sz w:val="20"/>
          <w:szCs w:val="20"/>
        </w:rPr>
        <w:t>2018, p. 174</w:t>
      </w:r>
      <w:r w:rsidR="00D86249">
        <w:rPr>
          <w:rFonts w:ascii="Times New Roman" w:eastAsia="Book Antiqua" w:hAnsi="Times New Roman" w:cs="Times New Roman"/>
          <w:color w:val="000000"/>
          <w:sz w:val="20"/>
          <w:szCs w:val="20"/>
        </w:rPr>
        <w:t>)</w:t>
      </w:r>
      <w:r w:rsidRPr="00C2202A">
        <w:rPr>
          <w:rFonts w:ascii="Times New Roman" w:eastAsia="Book Antiqua" w:hAnsi="Times New Roman" w:cs="Times New Roman"/>
          <w:color w:val="000000"/>
          <w:sz w:val="20"/>
          <w:szCs w:val="20"/>
        </w:rPr>
        <w:t xml:space="preserve">.  </w:t>
      </w:r>
    </w:p>
  </w:footnote>
  <w:footnote w:id="7">
    <w:p w14:paraId="2C5AF100" w14:textId="5842B63F" w:rsidR="00485B5F" w:rsidRPr="004F1878" w:rsidRDefault="00485B5F" w:rsidP="005C1438">
      <w:pPr>
        <w:autoSpaceDE w:val="0"/>
        <w:autoSpaceDN w:val="0"/>
        <w:adjustRightInd w:val="0"/>
        <w:jc w:val="both"/>
        <w:rPr>
          <w:rFonts w:ascii="Times New Roman" w:hAnsi="Times New Roman" w:cs="Times New Roman"/>
          <w:sz w:val="20"/>
          <w:szCs w:val="20"/>
          <w:lang w:val="en-US"/>
        </w:rPr>
      </w:pPr>
      <w:r w:rsidRPr="00C2202A">
        <w:rPr>
          <w:rFonts w:ascii="Times New Roman" w:hAnsi="Times New Roman" w:cs="Times New Roman"/>
          <w:sz w:val="20"/>
          <w:szCs w:val="20"/>
          <w:vertAlign w:val="superscript"/>
        </w:rPr>
        <w:footnoteRef/>
      </w:r>
      <w:r w:rsidRPr="00C2202A">
        <w:rPr>
          <w:rFonts w:ascii="Times New Roman" w:eastAsia="Book Antiqua" w:hAnsi="Times New Roman" w:cs="Times New Roman"/>
          <w:color w:val="000000"/>
          <w:sz w:val="20"/>
          <w:szCs w:val="20"/>
        </w:rPr>
        <w:t xml:space="preserve"> En dicho caso, la Corte Suprema de Wisconsin hubo de pronunciarse acerca de un supuesto en el que tribunal de circuito determinó en parte la </w:t>
      </w:r>
      <w:r w:rsidR="00D364F9" w:rsidRPr="00C2202A">
        <w:rPr>
          <w:rFonts w:ascii="Times New Roman" w:eastAsia="Book Antiqua" w:hAnsi="Times New Roman" w:cs="Times New Roman"/>
          <w:color w:val="000000"/>
          <w:sz w:val="20"/>
          <w:szCs w:val="20"/>
        </w:rPr>
        <w:t>sentencia</w:t>
      </w:r>
      <w:r w:rsidRPr="00C2202A">
        <w:rPr>
          <w:rFonts w:ascii="Times New Roman" w:eastAsia="Book Antiqua" w:hAnsi="Times New Roman" w:cs="Times New Roman"/>
          <w:color w:val="000000"/>
          <w:sz w:val="20"/>
          <w:szCs w:val="20"/>
        </w:rPr>
        <w:t xml:space="preserve"> con base en los resultados del algoritmo COMPAS que habían sido incluidos en el Informe de Investigación Previo a la </w:t>
      </w:r>
      <w:r w:rsidR="00D364F9" w:rsidRPr="00C2202A">
        <w:rPr>
          <w:rFonts w:ascii="Times New Roman" w:eastAsia="Book Antiqua" w:hAnsi="Times New Roman" w:cs="Times New Roman"/>
          <w:color w:val="000000"/>
          <w:sz w:val="20"/>
          <w:szCs w:val="20"/>
        </w:rPr>
        <w:t>Sentencia</w:t>
      </w:r>
      <w:r w:rsidRPr="00C2202A">
        <w:rPr>
          <w:rFonts w:ascii="Times New Roman" w:eastAsia="Book Antiqua" w:hAnsi="Times New Roman" w:cs="Times New Roman"/>
          <w:color w:val="000000"/>
          <w:sz w:val="20"/>
          <w:szCs w:val="20"/>
        </w:rPr>
        <w:t xml:space="preserve"> (PIR-</w:t>
      </w:r>
      <w:proofErr w:type="spellStart"/>
      <w:r w:rsidRPr="00C2202A">
        <w:rPr>
          <w:rFonts w:ascii="Times New Roman" w:eastAsia="Book Antiqua" w:hAnsi="Times New Roman" w:cs="Times New Roman"/>
          <w:i/>
          <w:color w:val="000000"/>
          <w:sz w:val="20"/>
          <w:szCs w:val="20"/>
        </w:rPr>
        <w:t>Presentence</w:t>
      </w:r>
      <w:proofErr w:type="spellEnd"/>
      <w:r w:rsidRPr="00C2202A">
        <w:rPr>
          <w:rFonts w:ascii="Times New Roman" w:eastAsia="Book Antiqua" w:hAnsi="Times New Roman" w:cs="Times New Roman"/>
          <w:i/>
          <w:color w:val="000000"/>
          <w:sz w:val="20"/>
          <w:szCs w:val="20"/>
        </w:rPr>
        <w:t xml:space="preserve"> </w:t>
      </w:r>
      <w:proofErr w:type="spellStart"/>
      <w:r w:rsidRPr="00C2202A">
        <w:rPr>
          <w:rFonts w:ascii="Times New Roman" w:eastAsia="Book Antiqua" w:hAnsi="Times New Roman" w:cs="Times New Roman"/>
          <w:i/>
          <w:color w:val="000000"/>
          <w:sz w:val="20"/>
          <w:szCs w:val="20"/>
        </w:rPr>
        <w:t>Investigation</w:t>
      </w:r>
      <w:proofErr w:type="spellEnd"/>
      <w:r w:rsidRPr="00C2202A">
        <w:rPr>
          <w:rFonts w:ascii="Times New Roman" w:eastAsia="Book Antiqua" w:hAnsi="Times New Roman" w:cs="Times New Roman"/>
          <w:i/>
          <w:color w:val="000000"/>
          <w:sz w:val="20"/>
          <w:szCs w:val="20"/>
        </w:rPr>
        <w:t xml:space="preserve"> </w:t>
      </w:r>
      <w:proofErr w:type="spellStart"/>
      <w:r w:rsidRPr="00C2202A">
        <w:rPr>
          <w:rFonts w:ascii="Times New Roman" w:eastAsia="Book Antiqua" w:hAnsi="Times New Roman" w:cs="Times New Roman"/>
          <w:i/>
          <w:color w:val="000000"/>
          <w:sz w:val="20"/>
          <w:szCs w:val="20"/>
        </w:rPr>
        <w:t>Report</w:t>
      </w:r>
      <w:proofErr w:type="spellEnd"/>
      <w:r w:rsidRPr="00C2202A">
        <w:rPr>
          <w:rFonts w:ascii="Times New Roman" w:eastAsia="Book Antiqua" w:hAnsi="Times New Roman" w:cs="Times New Roman"/>
          <w:color w:val="000000"/>
          <w:sz w:val="20"/>
          <w:szCs w:val="20"/>
        </w:rPr>
        <w:t>). La Sentencia de la Corte Suprema de Wisconsin de 13 de julio de 2016 rechazó los argumentos de la defensa fundados en la supuesta vulneración del derecho al debido proceso en lo que constituye una resolución fundamental acerca de la constitucionalidad del uso de algoritmos en el marco de una sentencia penal (</w:t>
      </w:r>
      <w:proofErr w:type="gramStart"/>
      <w:r w:rsidRPr="00C2202A">
        <w:rPr>
          <w:rFonts w:ascii="Times New Roman" w:eastAsia="Book Antiqua" w:hAnsi="Times New Roman" w:cs="Times New Roman"/>
          <w:smallCaps/>
          <w:color w:val="000000"/>
          <w:sz w:val="20"/>
          <w:szCs w:val="20"/>
        </w:rPr>
        <w:t>De Miguel Beriain</w:t>
      </w:r>
      <w:r w:rsidRPr="00C2202A">
        <w:rPr>
          <w:rFonts w:ascii="Times New Roman" w:eastAsia="Book Antiqua" w:hAnsi="Times New Roman" w:cs="Times New Roman"/>
          <w:color w:val="000000"/>
          <w:sz w:val="20"/>
          <w:szCs w:val="20"/>
        </w:rPr>
        <w:t>,</w:t>
      </w:r>
      <w:r w:rsidR="00DA001F" w:rsidRPr="00C2202A">
        <w:rPr>
          <w:rFonts w:ascii="Times New Roman" w:eastAsia="Book Antiqua" w:hAnsi="Times New Roman" w:cs="Times New Roman"/>
          <w:color w:val="000000"/>
          <w:sz w:val="20"/>
          <w:szCs w:val="20"/>
        </w:rPr>
        <w:t xml:space="preserve"> I., </w:t>
      </w:r>
      <w:r w:rsidR="00DA001F" w:rsidRPr="00C2202A">
        <w:rPr>
          <w:rFonts w:ascii="Times New Roman" w:hAnsi="Times New Roman" w:cs="Times New Roman"/>
          <w:sz w:val="20"/>
          <w:szCs w:val="20"/>
          <w:lang w:val="es-ES_tradnl"/>
        </w:rPr>
        <w:t>«</w:t>
      </w:r>
      <w:proofErr w:type="spellStart"/>
      <w:r w:rsidR="00DA001F" w:rsidRPr="00C2202A">
        <w:rPr>
          <w:rFonts w:ascii="Times New Roman" w:hAnsi="Times New Roman" w:cs="Times New Roman"/>
          <w:sz w:val="20"/>
          <w:szCs w:val="20"/>
          <w:lang w:val="es-ES_tradnl"/>
        </w:rPr>
        <w:t>Does</w:t>
      </w:r>
      <w:proofErr w:type="spellEnd"/>
      <w:r w:rsidR="00DA001F" w:rsidRPr="00C2202A">
        <w:rPr>
          <w:rFonts w:ascii="Times New Roman" w:hAnsi="Times New Roman" w:cs="Times New Roman"/>
          <w:sz w:val="20"/>
          <w:szCs w:val="20"/>
          <w:lang w:val="es-ES_tradnl"/>
        </w:rPr>
        <w:t xml:space="preserve"> </w:t>
      </w:r>
      <w:proofErr w:type="spellStart"/>
      <w:r w:rsidR="00DA001F" w:rsidRPr="00C2202A">
        <w:rPr>
          <w:rFonts w:ascii="Times New Roman" w:hAnsi="Times New Roman" w:cs="Times New Roman"/>
          <w:sz w:val="20"/>
          <w:szCs w:val="20"/>
          <w:lang w:val="es-ES_tradnl"/>
        </w:rPr>
        <w:t>the</w:t>
      </w:r>
      <w:proofErr w:type="spellEnd"/>
      <w:r w:rsidR="00DA001F" w:rsidRPr="00C2202A">
        <w:rPr>
          <w:rFonts w:ascii="Times New Roman" w:hAnsi="Times New Roman" w:cs="Times New Roman"/>
          <w:sz w:val="20"/>
          <w:szCs w:val="20"/>
          <w:lang w:val="es-ES_tradnl"/>
        </w:rPr>
        <w:t xml:space="preserve"> use of </w:t>
      </w:r>
      <w:proofErr w:type="spellStart"/>
      <w:r w:rsidR="00DA001F" w:rsidRPr="00C2202A">
        <w:rPr>
          <w:rFonts w:ascii="Times New Roman" w:hAnsi="Times New Roman" w:cs="Times New Roman"/>
          <w:sz w:val="20"/>
          <w:szCs w:val="20"/>
          <w:lang w:val="es-ES_tradnl"/>
        </w:rPr>
        <w:t>risk</w:t>
      </w:r>
      <w:proofErr w:type="spellEnd"/>
      <w:r w:rsidR="00DA001F" w:rsidRPr="00C2202A">
        <w:rPr>
          <w:rFonts w:ascii="Times New Roman" w:hAnsi="Times New Roman" w:cs="Times New Roman"/>
          <w:sz w:val="20"/>
          <w:szCs w:val="20"/>
          <w:lang w:val="es-ES_tradnl"/>
        </w:rPr>
        <w:t xml:space="preserve"> </w:t>
      </w:r>
      <w:proofErr w:type="spellStart"/>
      <w:r w:rsidR="00DA001F" w:rsidRPr="00C2202A">
        <w:rPr>
          <w:rFonts w:ascii="Times New Roman" w:hAnsi="Times New Roman" w:cs="Times New Roman"/>
          <w:sz w:val="20"/>
          <w:szCs w:val="20"/>
          <w:lang w:val="es-ES_tradnl"/>
        </w:rPr>
        <w:t>assessments</w:t>
      </w:r>
      <w:proofErr w:type="spellEnd"/>
      <w:r w:rsidR="00DA001F" w:rsidRPr="00C2202A">
        <w:rPr>
          <w:rFonts w:ascii="Times New Roman" w:hAnsi="Times New Roman" w:cs="Times New Roman"/>
          <w:sz w:val="20"/>
          <w:szCs w:val="20"/>
          <w:lang w:val="es-ES_tradnl"/>
        </w:rPr>
        <w:t xml:space="preserve"> in </w:t>
      </w:r>
      <w:proofErr w:type="spellStart"/>
      <w:r w:rsidR="00DA001F" w:rsidRPr="00C2202A">
        <w:rPr>
          <w:rFonts w:ascii="Times New Roman" w:hAnsi="Times New Roman" w:cs="Times New Roman"/>
          <w:sz w:val="20"/>
          <w:szCs w:val="20"/>
          <w:lang w:val="es-ES_tradnl"/>
        </w:rPr>
        <w:t>sentences</w:t>
      </w:r>
      <w:proofErr w:type="spellEnd"/>
      <w:r w:rsidR="00DA001F" w:rsidRPr="00C2202A">
        <w:rPr>
          <w:rFonts w:ascii="Times New Roman" w:hAnsi="Times New Roman" w:cs="Times New Roman"/>
          <w:sz w:val="20"/>
          <w:szCs w:val="20"/>
          <w:lang w:val="es-ES_tradnl"/>
        </w:rPr>
        <w:t xml:space="preserve"> </w:t>
      </w:r>
      <w:proofErr w:type="spellStart"/>
      <w:r w:rsidR="00DA001F" w:rsidRPr="00C2202A">
        <w:rPr>
          <w:rFonts w:ascii="Times New Roman" w:hAnsi="Times New Roman" w:cs="Times New Roman"/>
          <w:sz w:val="20"/>
          <w:szCs w:val="20"/>
          <w:lang w:val="es-ES_tradnl"/>
        </w:rPr>
        <w:t>respect</w:t>
      </w:r>
      <w:proofErr w:type="spellEnd"/>
      <w:r w:rsidR="00DA001F" w:rsidRPr="00C2202A">
        <w:rPr>
          <w:rFonts w:ascii="Times New Roman" w:hAnsi="Times New Roman" w:cs="Times New Roman"/>
          <w:sz w:val="20"/>
          <w:szCs w:val="20"/>
          <w:lang w:val="es-ES_tradnl"/>
        </w:rPr>
        <w:t xml:space="preserve"> </w:t>
      </w:r>
      <w:proofErr w:type="spellStart"/>
      <w:r w:rsidR="00DA001F" w:rsidRPr="00C2202A">
        <w:rPr>
          <w:rFonts w:ascii="Times New Roman" w:hAnsi="Times New Roman" w:cs="Times New Roman"/>
          <w:sz w:val="20"/>
          <w:szCs w:val="20"/>
          <w:lang w:val="es-ES_tradnl"/>
        </w:rPr>
        <w:t>the</w:t>
      </w:r>
      <w:proofErr w:type="spellEnd"/>
      <w:r w:rsidR="00DA001F" w:rsidRPr="00C2202A">
        <w:rPr>
          <w:rFonts w:ascii="Times New Roman" w:hAnsi="Times New Roman" w:cs="Times New Roman"/>
          <w:sz w:val="20"/>
          <w:szCs w:val="20"/>
          <w:lang w:val="es-ES_tradnl"/>
        </w:rPr>
        <w:t xml:space="preserve"> </w:t>
      </w:r>
      <w:proofErr w:type="spellStart"/>
      <w:r w:rsidR="00DA001F" w:rsidRPr="00C2202A">
        <w:rPr>
          <w:rFonts w:ascii="Times New Roman" w:hAnsi="Times New Roman" w:cs="Times New Roman"/>
          <w:sz w:val="20"/>
          <w:szCs w:val="20"/>
          <w:lang w:val="es-ES_tradnl"/>
        </w:rPr>
        <w:t>right</w:t>
      </w:r>
      <w:proofErr w:type="spellEnd"/>
      <w:r w:rsidR="00DA001F" w:rsidRPr="00C2202A">
        <w:rPr>
          <w:rFonts w:ascii="Times New Roman" w:hAnsi="Times New Roman" w:cs="Times New Roman"/>
          <w:sz w:val="20"/>
          <w:szCs w:val="20"/>
          <w:lang w:val="es-ES_tradnl"/>
        </w:rPr>
        <w:t xml:space="preserve"> to </w:t>
      </w:r>
      <w:proofErr w:type="spellStart"/>
      <w:r w:rsidR="00DA001F" w:rsidRPr="00C2202A">
        <w:rPr>
          <w:rFonts w:ascii="Times New Roman" w:hAnsi="Times New Roman" w:cs="Times New Roman"/>
          <w:sz w:val="20"/>
          <w:szCs w:val="20"/>
          <w:lang w:val="es-ES_tradnl"/>
        </w:rPr>
        <w:t>due</w:t>
      </w:r>
      <w:proofErr w:type="spellEnd"/>
      <w:r w:rsidR="00DA001F" w:rsidRPr="00C2202A">
        <w:rPr>
          <w:rFonts w:ascii="Times New Roman" w:hAnsi="Times New Roman" w:cs="Times New Roman"/>
          <w:sz w:val="20"/>
          <w:szCs w:val="20"/>
          <w:lang w:val="es-ES_tradnl"/>
        </w:rPr>
        <w:t xml:space="preserve"> </w:t>
      </w:r>
      <w:proofErr w:type="spellStart"/>
      <w:r w:rsidR="00DA001F" w:rsidRPr="00C2202A">
        <w:rPr>
          <w:rFonts w:ascii="Times New Roman" w:hAnsi="Times New Roman" w:cs="Times New Roman"/>
          <w:sz w:val="20"/>
          <w:szCs w:val="20"/>
          <w:lang w:val="es-ES_tradnl"/>
        </w:rPr>
        <w:t>process</w:t>
      </w:r>
      <w:proofErr w:type="spellEnd"/>
      <w:r w:rsidR="00DA001F" w:rsidRPr="00C2202A">
        <w:rPr>
          <w:rFonts w:ascii="Times New Roman" w:hAnsi="Times New Roman" w:cs="Times New Roman"/>
          <w:sz w:val="20"/>
          <w:szCs w:val="20"/>
          <w:lang w:val="es-ES_tradnl"/>
        </w:rPr>
        <w:t>?</w:t>
      </w:r>
      <w:proofErr w:type="gramEnd"/>
      <w:r w:rsidR="00DA001F" w:rsidRPr="00C2202A">
        <w:rPr>
          <w:rFonts w:ascii="Times New Roman" w:hAnsi="Times New Roman" w:cs="Times New Roman"/>
          <w:sz w:val="20"/>
          <w:szCs w:val="20"/>
          <w:lang w:val="es-ES_tradnl"/>
        </w:rPr>
        <w:t xml:space="preserve"> </w:t>
      </w:r>
      <w:r w:rsidR="00DA001F" w:rsidRPr="004F1878">
        <w:rPr>
          <w:rFonts w:ascii="Times New Roman" w:hAnsi="Times New Roman" w:cs="Times New Roman"/>
          <w:sz w:val="20"/>
          <w:szCs w:val="20"/>
          <w:lang w:val="en-US"/>
        </w:rPr>
        <w:t xml:space="preserve">A critical analysis of the Wisconsin v. Loomis ruling», </w:t>
      </w:r>
      <w:r w:rsidR="00DA001F" w:rsidRPr="004F1878">
        <w:rPr>
          <w:rFonts w:ascii="Times New Roman" w:hAnsi="Times New Roman" w:cs="Times New Roman"/>
          <w:i/>
          <w:sz w:val="20"/>
          <w:szCs w:val="20"/>
          <w:lang w:val="en-US"/>
        </w:rPr>
        <w:t>Law, Probability and Risk</w:t>
      </w:r>
      <w:r w:rsidR="00DA001F" w:rsidRPr="004F1878">
        <w:rPr>
          <w:rFonts w:ascii="Times New Roman" w:hAnsi="Times New Roman" w:cs="Times New Roman"/>
          <w:sz w:val="20"/>
          <w:szCs w:val="20"/>
          <w:lang w:val="en-US"/>
        </w:rPr>
        <w:t xml:space="preserve">, </w:t>
      </w:r>
      <w:proofErr w:type="spellStart"/>
      <w:r w:rsidR="00DA001F" w:rsidRPr="004F1878">
        <w:rPr>
          <w:rFonts w:ascii="Times New Roman" w:hAnsi="Times New Roman" w:cs="Times New Roman"/>
          <w:sz w:val="20"/>
          <w:szCs w:val="20"/>
          <w:lang w:val="en-US"/>
        </w:rPr>
        <w:t>núm</w:t>
      </w:r>
      <w:proofErr w:type="spellEnd"/>
      <w:r w:rsidR="00DA001F" w:rsidRPr="004F1878">
        <w:rPr>
          <w:rFonts w:ascii="Times New Roman" w:hAnsi="Times New Roman" w:cs="Times New Roman"/>
          <w:sz w:val="20"/>
          <w:szCs w:val="20"/>
          <w:lang w:val="en-US"/>
        </w:rPr>
        <w:t>. 17,</w:t>
      </w:r>
      <w:r w:rsidRPr="004F1878">
        <w:rPr>
          <w:rFonts w:ascii="Times New Roman" w:eastAsia="Book Antiqua" w:hAnsi="Times New Roman" w:cs="Times New Roman"/>
          <w:color w:val="000000"/>
          <w:sz w:val="20"/>
          <w:szCs w:val="20"/>
          <w:lang w:val="en-US"/>
        </w:rPr>
        <w:t xml:space="preserve"> 2018, pp. 45-46). </w:t>
      </w:r>
      <w:proofErr w:type="spellStart"/>
      <w:r w:rsidRPr="00C2202A">
        <w:rPr>
          <w:rFonts w:ascii="Times New Roman" w:eastAsia="Book Antiqua" w:hAnsi="Times New Roman" w:cs="Times New Roman"/>
          <w:color w:val="000000"/>
          <w:sz w:val="20"/>
          <w:szCs w:val="20"/>
          <w:lang w:val="en-US"/>
        </w:rPr>
        <w:t>Véase</w:t>
      </w:r>
      <w:proofErr w:type="spellEnd"/>
      <w:r w:rsidRPr="00C2202A">
        <w:rPr>
          <w:rFonts w:ascii="Times New Roman" w:eastAsia="Book Antiqua" w:hAnsi="Times New Roman" w:cs="Times New Roman"/>
          <w:color w:val="000000"/>
          <w:sz w:val="20"/>
          <w:szCs w:val="20"/>
          <w:lang w:val="en-US"/>
        </w:rPr>
        <w:t xml:space="preserve"> </w:t>
      </w:r>
      <w:r w:rsidRPr="00C2202A">
        <w:rPr>
          <w:rFonts w:ascii="Times New Roman" w:eastAsia="Book Antiqua" w:hAnsi="Times New Roman" w:cs="Times New Roman"/>
          <w:i/>
          <w:color w:val="000000"/>
          <w:sz w:val="20"/>
          <w:szCs w:val="20"/>
          <w:lang w:val="en-US"/>
        </w:rPr>
        <w:t>State v. Loomis</w:t>
      </w:r>
      <w:r w:rsidRPr="00C2202A">
        <w:rPr>
          <w:rFonts w:ascii="Times New Roman" w:eastAsia="Book Antiqua" w:hAnsi="Times New Roman" w:cs="Times New Roman"/>
          <w:color w:val="000000"/>
          <w:sz w:val="20"/>
          <w:szCs w:val="20"/>
          <w:lang w:val="en-US"/>
        </w:rPr>
        <w:t xml:space="preserve">, 881, N.W.2d 749 (Wis, 2016); </w:t>
      </w:r>
      <w:r w:rsidRPr="00C2202A">
        <w:rPr>
          <w:rFonts w:ascii="Times New Roman" w:eastAsia="Book Antiqua" w:hAnsi="Times New Roman" w:cs="Times New Roman"/>
          <w:i/>
          <w:color w:val="000000"/>
          <w:sz w:val="20"/>
          <w:szCs w:val="20"/>
          <w:lang w:val="en-US"/>
        </w:rPr>
        <w:t>Harvard Law Review</w:t>
      </w:r>
      <w:r w:rsidRPr="00C2202A">
        <w:rPr>
          <w:rFonts w:ascii="Times New Roman" w:eastAsia="Book Antiqua" w:hAnsi="Times New Roman" w:cs="Times New Roman"/>
          <w:color w:val="000000"/>
          <w:sz w:val="20"/>
          <w:szCs w:val="20"/>
          <w:lang w:val="en-US"/>
        </w:rPr>
        <w:t xml:space="preserve">, 2017, pp. 1530-1537.  </w:t>
      </w:r>
    </w:p>
  </w:footnote>
  <w:footnote w:id="8">
    <w:p w14:paraId="37DC59F4" w14:textId="52BB21E5" w:rsidR="00485B5F" w:rsidRPr="004F1878" w:rsidRDefault="00485B5F" w:rsidP="005C1438">
      <w:pPr>
        <w:pBdr>
          <w:top w:val="nil"/>
          <w:left w:val="nil"/>
          <w:bottom w:val="nil"/>
          <w:right w:val="nil"/>
          <w:between w:val="nil"/>
        </w:pBdr>
        <w:jc w:val="both"/>
        <w:rPr>
          <w:rFonts w:ascii="Times New Roman" w:eastAsia="Book Antiqua" w:hAnsi="Times New Roman" w:cs="Times New Roman"/>
          <w:color w:val="000000"/>
          <w:sz w:val="20"/>
          <w:szCs w:val="20"/>
          <w:lang w:val="en-US"/>
        </w:rPr>
      </w:pPr>
      <w:r w:rsidRPr="00C2202A">
        <w:rPr>
          <w:rFonts w:ascii="Times New Roman" w:hAnsi="Times New Roman" w:cs="Times New Roman"/>
          <w:sz w:val="20"/>
          <w:szCs w:val="20"/>
          <w:vertAlign w:val="superscript"/>
        </w:rPr>
        <w:footnoteRef/>
      </w:r>
      <w:r w:rsidRPr="00C2202A">
        <w:rPr>
          <w:rFonts w:ascii="Times New Roman" w:eastAsia="Book Antiqua" w:hAnsi="Times New Roman" w:cs="Times New Roman"/>
          <w:color w:val="000000"/>
          <w:sz w:val="20"/>
          <w:szCs w:val="20"/>
        </w:rPr>
        <w:t xml:space="preserve"> En definitiva, en la evolución de los instrumentos de evaluación del riesgo se ha llegado a la configuración de sistemas que, partiendo de una base actuarial, utilizan datos convertidos en algoritmos en los que la evaluación de aquellos se automatiza y </w:t>
      </w:r>
      <w:proofErr w:type="spellStart"/>
      <w:r w:rsidRPr="00C2202A">
        <w:rPr>
          <w:rFonts w:ascii="Times New Roman" w:eastAsia="Book Antiqua" w:hAnsi="Times New Roman" w:cs="Times New Roman"/>
          <w:color w:val="000000"/>
          <w:sz w:val="20"/>
          <w:szCs w:val="20"/>
        </w:rPr>
        <w:t>objetiviza</w:t>
      </w:r>
      <w:proofErr w:type="spellEnd"/>
      <w:r w:rsidRPr="00C2202A">
        <w:rPr>
          <w:rFonts w:ascii="Times New Roman" w:eastAsia="Book Antiqua" w:hAnsi="Times New Roman" w:cs="Times New Roman"/>
          <w:color w:val="000000"/>
          <w:sz w:val="20"/>
          <w:szCs w:val="20"/>
        </w:rPr>
        <w:t xml:space="preserve"> mediante su procesamiento por medio de procedimientos informáticos de sistemas de inteligencia artificial. </w:t>
      </w:r>
      <w:r w:rsidRPr="004F1878">
        <w:rPr>
          <w:rFonts w:ascii="Times New Roman" w:eastAsia="Book Antiqua" w:hAnsi="Times New Roman" w:cs="Times New Roman"/>
          <w:color w:val="000000"/>
          <w:sz w:val="20"/>
          <w:szCs w:val="20"/>
          <w:lang w:val="en-US"/>
        </w:rPr>
        <w:t>(</w:t>
      </w:r>
      <w:r w:rsidRPr="004F1878">
        <w:rPr>
          <w:rFonts w:ascii="Times New Roman" w:eastAsia="Book Antiqua" w:hAnsi="Times New Roman" w:cs="Times New Roman"/>
          <w:smallCaps/>
          <w:color w:val="000000"/>
          <w:sz w:val="20"/>
          <w:szCs w:val="20"/>
          <w:lang w:val="en-US"/>
        </w:rPr>
        <w:t>Romeo,</w:t>
      </w:r>
      <w:r w:rsidR="005C1438" w:rsidRPr="004F1878">
        <w:rPr>
          <w:rFonts w:ascii="Times New Roman" w:eastAsia="Book Antiqua" w:hAnsi="Times New Roman" w:cs="Times New Roman"/>
          <w:smallCaps/>
          <w:color w:val="000000"/>
          <w:sz w:val="20"/>
          <w:szCs w:val="20"/>
          <w:lang w:val="en-US"/>
        </w:rPr>
        <w:t xml:space="preserve"> C.M.,</w:t>
      </w:r>
      <w:r w:rsidRPr="004F1878">
        <w:rPr>
          <w:rFonts w:ascii="Times New Roman" w:eastAsia="Book Antiqua" w:hAnsi="Times New Roman" w:cs="Times New Roman"/>
          <w:color w:val="000000"/>
          <w:sz w:val="20"/>
          <w:szCs w:val="20"/>
          <w:lang w:val="en-US"/>
        </w:rPr>
        <w:t xml:space="preserve"> 2018, p. 172). </w:t>
      </w:r>
    </w:p>
  </w:footnote>
  <w:footnote w:id="9">
    <w:p w14:paraId="62F411C2" w14:textId="7AAEF751" w:rsidR="00485B5F" w:rsidRPr="004F1878" w:rsidRDefault="00485B5F" w:rsidP="005C1438">
      <w:pPr>
        <w:autoSpaceDE w:val="0"/>
        <w:autoSpaceDN w:val="0"/>
        <w:adjustRightInd w:val="0"/>
        <w:jc w:val="both"/>
        <w:rPr>
          <w:rFonts w:ascii="Times New Roman" w:hAnsi="Times New Roman" w:cs="Times New Roman"/>
          <w:sz w:val="20"/>
          <w:szCs w:val="20"/>
          <w:lang w:val="en-US"/>
        </w:rPr>
      </w:pPr>
      <w:r w:rsidRPr="00C2202A">
        <w:rPr>
          <w:rFonts w:ascii="Times New Roman" w:hAnsi="Times New Roman" w:cs="Times New Roman"/>
          <w:sz w:val="20"/>
          <w:szCs w:val="20"/>
          <w:vertAlign w:val="superscript"/>
        </w:rPr>
        <w:footnoteRef/>
      </w:r>
      <w:r w:rsidRPr="004F1878">
        <w:rPr>
          <w:rFonts w:ascii="Times New Roman" w:eastAsia="Book Antiqua" w:hAnsi="Times New Roman" w:cs="Times New Roman"/>
          <w:color w:val="000000"/>
          <w:sz w:val="20"/>
          <w:szCs w:val="20"/>
          <w:lang w:val="en-US"/>
        </w:rPr>
        <w:t xml:space="preserve"> </w:t>
      </w:r>
      <w:r w:rsidRPr="004F1878">
        <w:rPr>
          <w:rFonts w:ascii="Times New Roman" w:eastAsia="Book Antiqua" w:hAnsi="Times New Roman" w:cs="Times New Roman"/>
          <w:smallCaps/>
          <w:color w:val="000000"/>
          <w:sz w:val="20"/>
          <w:szCs w:val="20"/>
          <w:lang w:val="en-US"/>
        </w:rPr>
        <w:t>Starr</w:t>
      </w:r>
      <w:r w:rsidRPr="004F1878">
        <w:rPr>
          <w:rFonts w:ascii="Times New Roman" w:eastAsia="Book Antiqua" w:hAnsi="Times New Roman" w:cs="Times New Roman"/>
          <w:color w:val="000000"/>
          <w:sz w:val="20"/>
          <w:szCs w:val="20"/>
          <w:lang w:val="en-US"/>
        </w:rPr>
        <w:t>,</w:t>
      </w:r>
      <w:r w:rsidR="009E3594" w:rsidRPr="004F1878">
        <w:rPr>
          <w:rFonts w:ascii="Times New Roman" w:eastAsia="Book Antiqua" w:hAnsi="Times New Roman" w:cs="Times New Roman"/>
          <w:color w:val="000000"/>
          <w:sz w:val="20"/>
          <w:szCs w:val="20"/>
          <w:lang w:val="en-US"/>
        </w:rPr>
        <w:t xml:space="preserve"> S.B., </w:t>
      </w:r>
      <w:r w:rsidR="00111C79" w:rsidRPr="004F1878">
        <w:rPr>
          <w:rFonts w:ascii="Times New Roman" w:hAnsi="Times New Roman" w:cs="Times New Roman"/>
          <w:sz w:val="20"/>
          <w:szCs w:val="20"/>
          <w:lang w:val="en-US"/>
        </w:rPr>
        <w:t xml:space="preserve">«Evidence-based Sentencing and the Scientific Rationalization of Discrimination», </w:t>
      </w:r>
      <w:r w:rsidR="00111C79" w:rsidRPr="004F1878">
        <w:rPr>
          <w:rFonts w:ascii="Times New Roman" w:hAnsi="Times New Roman" w:cs="Times New Roman"/>
          <w:i/>
          <w:sz w:val="20"/>
          <w:szCs w:val="20"/>
          <w:lang w:val="en-US"/>
        </w:rPr>
        <w:t>Stanford Law Review</w:t>
      </w:r>
      <w:r w:rsidR="00111C79" w:rsidRPr="004F1878">
        <w:rPr>
          <w:rFonts w:ascii="Times New Roman" w:hAnsi="Times New Roman" w:cs="Times New Roman"/>
          <w:sz w:val="20"/>
          <w:szCs w:val="20"/>
          <w:lang w:val="en-US"/>
        </w:rPr>
        <w:t xml:space="preserve">, vol. 66, </w:t>
      </w:r>
      <w:proofErr w:type="spellStart"/>
      <w:r w:rsidR="00111C79" w:rsidRPr="004F1878">
        <w:rPr>
          <w:rFonts w:ascii="Times New Roman" w:hAnsi="Times New Roman" w:cs="Times New Roman"/>
          <w:sz w:val="20"/>
          <w:szCs w:val="20"/>
          <w:lang w:val="en-US"/>
        </w:rPr>
        <w:t>núm</w:t>
      </w:r>
      <w:proofErr w:type="spellEnd"/>
      <w:r w:rsidR="00111C79" w:rsidRPr="004F1878">
        <w:rPr>
          <w:rFonts w:ascii="Times New Roman" w:hAnsi="Times New Roman" w:cs="Times New Roman"/>
          <w:sz w:val="20"/>
          <w:szCs w:val="20"/>
          <w:lang w:val="en-US"/>
        </w:rPr>
        <w:t>. 4</w:t>
      </w:r>
      <w:r w:rsidR="005E009C" w:rsidRPr="004F1878">
        <w:rPr>
          <w:rFonts w:ascii="Times New Roman" w:eastAsia="Book Antiqua" w:hAnsi="Times New Roman" w:cs="Times New Roman"/>
          <w:color w:val="000000"/>
          <w:sz w:val="20"/>
          <w:szCs w:val="20"/>
          <w:lang w:val="en-US"/>
        </w:rPr>
        <w:t xml:space="preserve">, </w:t>
      </w:r>
      <w:r w:rsidRPr="004F1878">
        <w:rPr>
          <w:rFonts w:ascii="Times New Roman" w:eastAsia="Book Antiqua" w:hAnsi="Times New Roman" w:cs="Times New Roman"/>
          <w:color w:val="000000"/>
          <w:sz w:val="20"/>
          <w:szCs w:val="20"/>
          <w:lang w:val="en-US"/>
        </w:rPr>
        <w:t>2014, p. 805.</w:t>
      </w:r>
    </w:p>
  </w:footnote>
  <w:footnote w:id="10">
    <w:p w14:paraId="259BD1E3" w14:textId="32141DBA" w:rsidR="00485B5F" w:rsidRPr="00C2202A" w:rsidRDefault="00485B5F" w:rsidP="005C1438">
      <w:pPr>
        <w:autoSpaceDE w:val="0"/>
        <w:autoSpaceDN w:val="0"/>
        <w:adjustRightInd w:val="0"/>
        <w:jc w:val="both"/>
        <w:rPr>
          <w:rFonts w:ascii="Times New Roman" w:hAnsi="Times New Roman" w:cs="Times New Roman"/>
          <w:sz w:val="20"/>
          <w:szCs w:val="20"/>
          <w:lang w:val="es-ES_tradnl"/>
        </w:rPr>
      </w:pPr>
      <w:r w:rsidRPr="00C2202A">
        <w:rPr>
          <w:rFonts w:ascii="Times New Roman" w:hAnsi="Times New Roman" w:cs="Times New Roman"/>
          <w:sz w:val="20"/>
          <w:szCs w:val="20"/>
          <w:vertAlign w:val="superscript"/>
        </w:rPr>
        <w:footnoteRef/>
      </w:r>
      <w:r w:rsidRPr="00C2202A">
        <w:rPr>
          <w:rFonts w:ascii="Times New Roman" w:eastAsia="Book Antiqua" w:hAnsi="Times New Roman" w:cs="Times New Roman"/>
          <w:color w:val="000000"/>
          <w:sz w:val="20"/>
          <w:szCs w:val="20"/>
        </w:rPr>
        <w:t xml:space="preserve"> </w:t>
      </w:r>
      <w:r w:rsidRPr="00C2202A">
        <w:rPr>
          <w:rFonts w:ascii="Times New Roman" w:eastAsia="Book Antiqua" w:hAnsi="Times New Roman" w:cs="Times New Roman"/>
          <w:smallCaps/>
          <w:color w:val="000000"/>
          <w:sz w:val="20"/>
          <w:szCs w:val="20"/>
        </w:rPr>
        <w:t>Martínez Garay,</w:t>
      </w:r>
      <w:r w:rsidR="00111C79" w:rsidRPr="00C2202A">
        <w:rPr>
          <w:rFonts w:ascii="Times New Roman" w:eastAsia="Book Antiqua" w:hAnsi="Times New Roman" w:cs="Times New Roman"/>
          <w:smallCaps/>
          <w:color w:val="000000"/>
          <w:sz w:val="20"/>
          <w:szCs w:val="20"/>
        </w:rPr>
        <w:t xml:space="preserve"> L., </w:t>
      </w:r>
      <w:r w:rsidR="00111C79" w:rsidRPr="00C2202A">
        <w:rPr>
          <w:rFonts w:ascii="Times New Roman" w:hAnsi="Times New Roman" w:cs="Times New Roman"/>
          <w:sz w:val="20"/>
          <w:szCs w:val="20"/>
          <w:lang w:val="es-ES_tradnl"/>
        </w:rPr>
        <w:t xml:space="preserve">«La incertidumbre de los pronósticos de peligrosidad: consecuencias para la dogmática de las medidas de seguridad», </w:t>
      </w:r>
      <w:proofErr w:type="spellStart"/>
      <w:r w:rsidR="00111C79" w:rsidRPr="00C2202A">
        <w:rPr>
          <w:rFonts w:ascii="Times New Roman" w:hAnsi="Times New Roman" w:cs="Times New Roman"/>
          <w:i/>
          <w:sz w:val="20"/>
          <w:szCs w:val="20"/>
          <w:lang w:val="es-ES_tradnl"/>
        </w:rPr>
        <w:t>InDret</w:t>
      </w:r>
      <w:proofErr w:type="spellEnd"/>
      <w:r w:rsidR="00111C79" w:rsidRPr="00C2202A">
        <w:rPr>
          <w:rFonts w:ascii="Times New Roman" w:hAnsi="Times New Roman" w:cs="Times New Roman"/>
          <w:sz w:val="20"/>
          <w:szCs w:val="20"/>
          <w:lang w:val="es-ES_tradnl"/>
        </w:rPr>
        <w:t>, 2/2014</w:t>
      </w:r>
      <w:r w:rsidRPr="00C2202A">
        <w:rPr>
          <w:rFonts w:ascii="Times New Roman" w:eastAsia="Book Antiqua" w:hAnsi="Times New Roman" w:cs="Times New Roman"/>
          <w:color w:val="000000"/>
          <w:sz w:val="20"/>
          <w:szCs w:val="20"/>
        </w:rPr>
        <w:t>, p. 52.</w:t>
      </w:r>
    </w:p>
  </w:footnote>
  <w:footnote w:id="11">
    <w:p w14:paraId="6E305298" w14:textId="0C2679F2" w:rsidR="00485B5F" w:rsidRPr="004F1878" w:rsidRDefault="00485B5F" w:rsidP="005C1438">
      <w:pPr>
        <w:autoSpaceDE w:val="0"/>
        <w:autoSpaceDN w:val="0"/>
        <w:adjustRightInd w:val="0"/>
        <w:jc w:val="both"/>
        <w:rPr>
          <w:rFonts w:ascii="Times New Roman" w:hAnsi="Times New Roman" w:cs="Times New Roman"/>
          <w:sz w:val="20"/>
          <w:szCs w:val="20"/>
          <w:lang w:val="en-US"/>
        </w:rPr>
      </w:pPr>
      <w:r w:rsidRPr="00C2202A">
        <w:rPr>
          <w:rFonts w:ascii="Times New Roman" w:hAnsi="Times New Roman" w:cs="Times New Roman"/>
          <w:sz w:val="20"/>
          <w:szCs w:val="20"/>
          <w:vertAlign w:val="superscript"/>
        </w:rPr>
        <w:footnoteRef/>
      </w:r>
      <w:r w:rsidRPr="004F1878">
        <w:rPr>
          <w:rFonts w:ascii="Times New Roman" w:eastAsia="Book Antiqua" w:hAnsi="Times New Roman" w:cs="Times New Roman"/>
          <w:color w:val="000000"/>
          <w:sz w:val="20"/>
          <w:szCs w:val="20"/>
          <w:lang w:val="en-US"/>
        </w:rPr>
        <w:t xml:space="preserve"> </w:t>
      </w:r>
      <w:r w:rsidRPr="004F1878">
        <w:rPr>
          <w:rFonts w:ascii="Times New Roman" w:eastAsia="Book Antiqua" w:hAnsi="Times New Roman" w:cs="Times New Roman"/>
          <w:smallCaps/>
          <w:color w:val="000000"/>
          <w:sz w:val="20"/>
          <w:szCs w:val="20"/>
          <w:lang w:val="en-US"/>
        </w:rPr>
        <w:t>Monahan</w:t>
      </w:r>
      <w:r w:rsidR="00111C79" w:rsidRPr="004F1878">
        <w:rPr>
          <w:rFonts w:ascii="Times New Roman" w:eastAsia="Book Antiqua" w:hAnsi="Times New Roman" w:cs="Times New Roman"/>
          <w:smallCaps/>
          <w:color w:val="000000"/>
          <w:sz w:val="20"/>
          <w:szCs w:val="20"/>
          <w:lang w:val="en-US"/>
        </w:rPr>
        <w:t>, J.</w:t>
      </w:r>
      <w:r w:rsidR="00111C79" w:rsidRPr="004F1878">
        <w:rPr>
          <w:rFonts w:ascii="Times New Roman" w:eastAsia="Book Antiqua" w:hAnsi="Times New Roman" w:cs="Times New Roman"/>
          <w:color w:val="000000"/>
          <w:sz w:val="20"/>
          <w:szCs w:val="20"/>
          <w:lang w:val="en-US"/>
        </w:rPr>
        <w:t>/</w:t>
      </w:r>
      <w:proofErr w:type="spellStart"/>
      <w:r w:rsidRPr="004F1878">
        <w:rPr>
          <w:rFonts w:ascii="Times New Roman" w:eastAsia="Book Antiqua" w:hAnsi="Times New Roman" w:cs="Times New Roman"/>
          <w:smallCaps/>
          <w:color w:val="000000"/>
          <w:sz w:val="20"/>
          <w:szCs w:val="20"/>
          <w:lang w:val="en-US"/>
        </w:rPr>
        <w:t>Skeem</w:t>
      </w:r>
      <w:proofErr w:type="spellEnd"/>
      <w:r w:rsidRPr="004F1878">
        <w:rPr>
          <w:rFonts w:ascii="Times New Roman" w:eastAsia="Book Antiqua" w:hAnsi="Times New Roman" w:cs="Times New Roman"/>
          <w:color w:val="000000"/>
          <w:sz w:val="20"/>
          <w:szCs w:val="20"/>
          <w:lang w:val="en-US"/>
        </w:rPr>
        <w:t>,</w:t>
      </w:r>
      <w:r w:rsidR="00111C79" w:rsidRPr="004F1878">
        <w:rPr>
          <w:rFonts w:ascii="Times New Roman" w:eastAsia="Book Antiqua" w:hAnsi="Times New Roman" w:cs="Times New Roman"/>
          <w:color w:val="000000"/>
          <w:sz w:val="20"/>
          <w:szCs w:val="20"/>
          <w:lang w:val="en-US"/>
        </w:rPr>
        <w:t xml:space="preserve"> J.L., </w:t>
      </w:r>
      <w:r w:rsidR="00111C79" w:rsidRPr="004F1878">
        <w:rPr>
          <w:rFonts w:ascii="Times New Roman" w:hAnsi="Times New Roman" w:cs="Times New Roman"/>
          <w:sz w:val="20"/>
          <w:szCs w:val="20"/>
          <w:lang w:val="en-US"/>
        </w:rPr>
        <w:t xml:space="preserve">«Risk Assessment in Criminal Sentencing», </w:t>
      </w:r>
      <w:r w:rsidR="00111C79" w:rsidRPr="004F1878">
        <w:rPr>
          <w:rFonts w:ascii="Times New Roman" w:hAnsi="Times New Roman" w:cs="Times New Roman"/>
          <w:i/>
          <w:sz w:val="20"/>
          <w:szCs w:val="20"/>
          <w:lang w:val="en-US"/>
        </w:rPr>
        <w:t>Annual Review of Clinical Psychology</w:t>
      </w:r>
      <w:r w:rsidR="00111C79" w:rsidRPr="004F1878">
        <w:rPr>
          <w:rFonts w:ascii="Times New Roman" w:hAnsi="Times New Roman" w:cs="Times New Roman"/>
          <w:sz w:val="20"/>
          <w:szCs w:val="20"/>
          <w:lang w:val="en-US"/>
        </w:rPr>
        <w:t>, vol. 12</w:t>
      </w:r>
      <w:r w:rsidR="005C1438" w:rsidRPr="004F1878">
        <w:rPr>
          <w:rFonts w:ascii="Times New Roman" w:hAnsi="Times New Roman" w:cs="Times New Roman"/>
          <w:sz w:val="20"/>
          <w:szCs w:val="20"/>
          <w:lang w:val="en-US"/>
        </w:rPr>
        <w:t>,</w:t>
      </w:r>
      <w:r w:rsidRPr="004F1878">
        <w:rPr>
          <w:rFonts w:ascii="Times New Roman" w:eastAsia="Book Antiqua" w:hAnsi="Times New Roman" w:cs="Times New Roman"/>
          <w:color w:val="000000"/>
          <w:sz w:val="20"/>
          <w:szCs w:val="20"/>
          <w:lang w:val="en-US"/>
        </w:rPr>
        <w:t xml:space="preserve"> 2016, pp. 500 y 501. </w:t>
      </w:r>
    </w:p>
  </w:footnote>
  <w:footnote w:id="12">
    <w:p w14:paraId="35162111" w14:textId="134A573A" w:rsidR="00485B5F" w:rsidRPr="00C2202A" w:rsidRDefault="00485B5F" w:rsidP="005C1438">
      <w:pPr>
        <w:autoSpaceDE w:val="0"/>
        <w:autoSpaceDN w:val="0"/>
        <w:adjustRightInd w:val="0"/>
        <w:jc w:val="both"/>
        <w:rPr>
          <w:rFonts w:ascii="Times New Roman" w:hAnsi="Times New Roman" w:cs="Times New Roman"/>
          <w:sz w:val="20"/>
          <w:szCs w:val="20"/>
          <w:lang w:val="es-ES_tradnl"/>
        </w:rPr>
      </w:pPr>
      <w:r w:rsidRPr="00C2202A">
        <w:rPr>
          <w:rFonts w:ascii="Times New Roman" w:hAnsi="Times New Roman" w:cs="Times New Roman"/>
          <w:sz w:val="20"/>
          <w:szCs w:val="20"/>
          <w:vertAlign w:val="superscript"/>
        </w:rPr>
        <w:footnoteRef/>
      </w:r>
      <w:r w:rsidRPr="00C2202A">
        <w:rPr>
          <w:rFonts w:ascii="Times New Roman" w:eastAsia="Book Antiqua" w:hAnsi="Times New Roman" w:cs="Times New Roman"/>
          <w:color w:val="000000"/>
          <w:sz w:val="20"/>
          <w:szCs w:val="20"/>
        </w:rPr>
        <w:t xml:space="preserve"> Ello genera indudables problemas desde el punto de vista procesal si los resultados de los referidos algoritmos protegidos por el secreto industrial son empleados para determinar (al menos parcialmente) la pena, cuestión que ya se planteó oportunamente en el caso </w:t>
      </w:r>
      <w:proofErr w:type="spellStart"/>
      <w:r w:rsidRPr="00C2202A">
        <w:rPr>
          <w:rFonts w:ascii="Times New Roman" w:eastAsia="Book Antiqua" w:hAnsi="Times New Roman" w:cs="Times New Roman"/>
          <w:i/>
          <w:color w:val="000000"/>
          <w:sz w:val="20"/>
          <w:szCs w:val="20"/>
        </w:rPr>
        <w:t>State</w:t>
      </w:r>
      <w:proofErr w:type="spellEnd"/>
      <w:r w:rsidRPr="00C2202A">
        <w:rPr>
          <w:rFonts w:ascii="Times New Roman" w:eastAsia="Book Antiqua" w:hAnsi="Times New Roman" w:cs="Times New Roman"/>
          <w:i/>
          <w:color w:val="000000"/>
          <w:sz w:val="20"/>
          <w:szCs w:val="20"/>
        </w:rPr>
        <w:t xml:space="preserve"> of Wisconsin v. </w:t>
      </w:r>
      <w:proofErr w:type="spellStart"/>
      <w:r w:rsidRPr="00C2202A">
        <w:rPr>
          <w:rFonts w:ascii="Times New Roman" w:eastAsia="Book Antiqua" w:hAnsi="Times New Roman" w:cs="Times New Roman"/>
          <w:i/>
          <w:color w:val="000000"/>
          <w:sz w:val="20"/>
          <w:szCs w:val="20"/>
        </w:rPr>
        <w:t>Loomis</w:t>
      </w:r>
      <w:proofErr w:type="spellEnd"/>
      <w:r w:rsidRPr="00C2202A">
        <w:rPr>
          <w:rFonts w:ascii="Times New Roman" w:eastAsia="Book Antiqua" w:hAnsi="Times New Roman" w:cs="Times New Roman"/>
          <w:color w:val="000000"/>
          <w:sz w:val="20"/>
          <w:szCs w:val="20"/>
        </w:rPr>
        <w:t xml:space="preserve"> al alegar la defensa que la utilización del referido instrumental en dichas condiciones viola el derecho del acusado a ser sentenciado con base en información precisa, en parte porque el secreto industrial aplicable a COMPAS le impide a aquel evaluar la exactitud de la puntuación de riesgo asignado (opacidad que convierte el algoritmo en una verdadera “caja negra” al impedirse al acusado acceder al código fuente, tal como evidencia </w:t>
      </w:r>
      <w:r w:rsidRPr="00C2202A">
        <w:rPr>
          <w:rFonts w:ascii="Times New Roman" w:eastAsia="Book Antiqua" w:hAnsi="Times New Roman" w:cs="Times New Roman"/>
          <w:smallCaps/>
          <w:color w:val="000000"/>
          <w:sz w:val="20"/>
          <w:szCs w:val="20"/>
        </w:rPr>
        <w:t>Freeman</w:t>
      </w:r>
      <w:r w:rsidRPr="00C2202A">
        <w:rPr>
          <w:rFonts w:ascii="Times New Roman" w:eastAsia="Book Antiqua" w:hAnsi="Times New Roman" w:cs="Times New Roman"/>
          <w:color w:val="000000"/>
          <w:sz w:val="20"/>
          <w:szCs w:val="20"/>
        </w:rPr>
        <w:t>,</w:t>
      </w:r>
      <w:r w:rsidR="00111C79" w:rsidRPr="00C2202A">
        <w:rPr>
          <w:rFonts w:ascii="Times New Roman" w:eastAsia="Book Antiqua" w:hAnsi="Times New Roman" w:cs="Times New Roman"/>
          <w:color w:val="000000"/>
          <w:sz w:val="20"/>
          <w:szCs w:val="20"/>
        </w:rPr>
        <w:t xml:space="preserve"> K., </w:t>
      </w:r>
      <w:r w:rsidR="00111C79" w:rsidRPr="00C2202A">
        <w:rPr>
          <w:rFonts w:ascii="Times New Roman" w:hAnsi="Times New Roman" w:cs="Times New Roman"/>
          <w:sz w:val="20"/>
          <w:szCs w:val="20"/>
          <w:lang w:val="es-ES_tradnl"/>
        </w:rPr>
        <w:t>«</w:t>
      </w:r>
      <w:proofErr w:type="spellStart"/>
      <w:r w:rsidR="00111C79" w:rsidRPr="00C2202A">
        <w:rPr>
          <w:rFonts w:ascii="Times New Roman" w:hAnsi="Times New Roman" w:cs="Times New Roman"/>
          <w:sz w:val="20"/>
          <w:szCs w:val="20"/>
          <w:lang w:val="es-ES_tradnl"/>
        </w:rPr>
        <w:t>Algorithmic</w:t>
      </w:r>
      <w:proofErr w:type="spellEnd"/>
      <w:r w:rsidR="00111C79" w:rsidRPr="00C2202A">
        <w:rPr>
          <w:rFonts w:ascii="Times New Roman" w:hAnsi="Times New Roman" w:cs="Times New Roman"/>
          <w:sz w:val="20"/>
          <w:szCs w:val="20"/>
          <w:lang w:val="es-ES_tradnl"/>
        </w:rPr>
        <w:t xml:space="preserve"> </w:t>
      </w:r>
      <w:proofErr w:type="spellStart"/>
      <w:r w:rsidR="00111C79" w:rsidRPr="00C2202A">
        <w:rPr>
          <w:rFonts w:ascii="Times New Roman" w:hAnsi="Times New Roman" w:cs="Times New Roman"/>
          <w:sz w:val="20"/>
          <w:szCs w:val="20"/>
          <w:lang w:val="es-ES_tradnl"/>
        </w:rPr>
        <w:t>Injustice</w:t>
      </w:r>
      <w:proofErr w:type="spellEnd"/>
      <w:r w:rsidR="00111C79" w:rsidRPr="00C2202A">
        <w:rPr>
          <w:rFonts w:ascii="Times New Roman" w:hAnsi="Times New Roman" w:cs="Times New Roman"/>
          <w:sz w:val="20"/>
          <w:szCs w:val="20"/>
          <w:lang w:val="es-ES_tradnl"/>
        </w:rPr>
        <w:t xml:space="preserve">: </w:t>
      </w:r>
      <w:proofErr w:type="spellStart"/>
      <w:r w:rsidR="00111C79" w:rsidRPr="00C2202A">
        <w:rPr>
          <w:rFonts w:ascii="Times New Roman" w:hAnsi="Times New Roman" w:cs="Times New Roman"/>
          <w:sz w:val="20"/>
          <w:szCs w:val="20"/>
          <w:lang w:val="es-ES_tradnl"/>
        </w:rPr>
        <w:t>How</w:t>
      </w:r>
      <w:proofErr w:type="spellEnd"/>
      <w:r w:rsidR="00111C79" w:rsidRPr="00C2202A">
        <w:rPr>
          <w:rFonts w:ascii="Times New Roman" w:hAnsi="Times New Roman" w:cs="Times New Roman"/>
          <w:sz w:val="20"/>
          <w:szCs w:val="20"/>
          <w:lang w:val="es-ES_tradnl"/>
        </w:rPr>
        <w:t xml:space="preserve"> </w:t>
      </w:r>
      <w:proofErr w:type="spellStart"/>
      <w:r w:rsidR="00111C79" w:rsidRPr="00C2202A">
        <w:rPr>
          <w:rFonts w:ascii="Times New Roman" w:hAnsi="Times New Roman" w:cs="Times New Roman"/>
          <w:sz w:val="20"/>
          <w:szCs w:val="20"/>
          <w:lang w:val="es-ES_tradnl"/>
        </w:rPr>
        <w:t>the</w:t>
      </w:r>
      <w:proofErr w:type="spellEnd"/>
      <w:r w:rsidR="00111C79" w:rsidRPr="00C2202A">
        <w:rPr>
          <w:rFonts w:ascii="Times New Roman" w:hAnsi="Times New Roman" w:cs="Times New Roman"/>
          <w:sz w:val="20"/>
          <w:szCs w:val="20"/>
          <w:lang w:val="es-ES_tradnl"/>
        </w:rPr>
        <w:t xml:space="preserve"> Wisconsin </w:t>
      </w:r>
      <w:proofErr w:type="spellStart"/>
      <w:r w:rsidR="00111C79" w:rsidRPr="00C2202A">
        <w:rPr>
          <w:rFonts w:ascii="Times New Roman" w:hAnsi="Times New Roman" w:cs="Times New Roman"/>
          <w:sz w:val="20"/>
          <w:szCs w:val="20"/>
          <w:lang w:val="es-ES_tradnl"/>
        </w:rPr>
        <w:t>Supreme</w:t>
      </w:r>
      <w:proofErr w:type="spellEnd"/>
      <w:r w:rsidR="00111C79" w:rsidRPr="00C2202A">
        <w:rPr>
          <w:rFonts w:ascii="Times New Roman" w:hAnsi="Times New Roman" w:cs="Times New Roman"/>
          <w:sz w:val="20"/>
          <w:szCs w:val="20"/>
          <w:lang w:val="es-ES_tradnl"/>
        </w:rPr>
        <w:t xml:space="preserve"> </w:t>
      </w:r>
      <w:proofErr w:type="spellStart"/>
      <w:r w:rsidR="00111C79" w:rsidRPr="00C2202A">
        <w:rPr>
          <w:rFonts w:ascii="Times New Roman" w:hAnsi="Times New Roman" w:cs="Times New Roman"/>
          <w:sz w:val="20"/>
          <w:szCs w:val="20"/>
          <w:lang w:val="es-ES_tradnl"/>
        </w:rPr>
        <w:t>Court</w:t>
      </w:r>
      <w:proofErr w:type="spellEnd"/>
      <w:r w:rsidR="00111C79" w:rsidRPr="00C2202A">
        <w:rPr>
          <w:rFonts w:ascii="Times New Roman" w:hAnsi="Times New Roman" w:cs="Times New Roman"/>
          <w:sz w:val="20"/>
          <w:szCs w:val="20"/>
          <w:lang w:val="es-ES_tradnl"/>
        </w:rPr>
        <w:t xml:space="preserve"> </w:t>
      </w:r>
      <w:proofErr w:type="spellStart"/>
      <w:r w:rsidR="00111C79" w:rsidRPr="00C2202A">
        <w:rPr>
          <w:rFonts w:ascii="Times New Roman" w:hAnsi="Times New Roman" w:cs="Times New Roman"/>
          <w:sz w:val="20"/>
          <w:szCs w:val="20"/>
          <w:lang w:val="es-ES_tradnl"/>
        </w:rPr>
        <w:t>Failed</w:t>
      </w:r>
      <w:proofErr w:type="spellEnd"/>
      <w:r w:rsidR="00111C79" w:rsidRPr="00C2202A">
        <w:rPr>
          <w:rFonts w:ascii="Times New Roman" w:hAnsi="Times New Roman" w:cs="Times New Roman"/>
          <w:sz w:val="20"/>
          <w:szCs w:val="20"/>
          <w:lang w:val="es-ES_tradnl"/>
        </w:rPr>
        <w:t xml:space="preserve"> to </w:t>
      </w:r>
      <w:proofErr w:type="spellStart"/>
      <w:r w:rsidR="00111C79" w:rsidRPr="00C2202A">
        <w:rPr>
          <w:rFonts w:ascii="Times New Roman" w:hAnsi="Times New Roman" w:cs="Times New Roman"/>
          <w:sz w:val="20"/>
          <w:szCs w:val="20"/>
          <w:lang w:val="es-ES_tradnl"/>
        </w:rPr>
        <w:t>Protect</w:t>
      </w:r>
      <w:proofErr w:type="spellEnd"/>
      <w:r w:rsidR="00111C79" w:rsidRPr="00C2202A">
        <w:rPr>
          <w:rFonts w:ascii="Times New Roman" w:hAnsi="Times New Roman" w:cs="Times New Roman"/>
          <w:sz w:val="20"/>
          <w:szCs w:val="20"/>
          <w:lang w:val="es-ES_tradnl"/>
        </w:rPr>
        <w:t xml:space="preserve"> </w:t>
      </w:r>
      <w:proofErr w:type="spellStart"/>
      <w:r w:rsidR="00111C79" w:rsidRPr="00C2202A">
        <w:rPr>
          <w:rFonts w:ascii="Times New Roman" w:hAnsi="Times New Roman" w:cs="Times New Roman"/>
          <w:sz w:val="20"/>
          <w:szCs w:val="20"/>
          <w:lang w:val="es-ES_tradnl"/>
        </w:rPr>
        <w:t>Due</w:t>
      </w:r>
      <w:proofErr w:type="spellEnd"/>
      <w:r w:rsidR="00111C79" w:rsidRPr="00C2202A">
        <w:rPr>
          <w:rFonts w:ascii="Times New Roman" w:hAnsi="Times New Roman" w:cs="Times New Roman"/>
          <w:sz w:val="20"/>
          <w:szCs w:val="20"/>
          <w:lang w:val="es-ES_tradnl"/>
        </w:rPr>
        <w:t xml:space="preserve"> </w:t>
      </w:r>
      <w:proofErr w:type="spellStart"/>
      <w:r w:rsidR="00111C79" w:rsidRPr="00C2202A">
        <w:rPr>
          <w:rFonts w:ascii="Times New Roman" w:hAnsi="Times New Roman" w:cs="Times New Roman"/>
          <w:sz w:val="20"/>
          <w:szCs w:val="20"/>
          <w:lang w:val="es-ES_tradnl"/>
        </w:rPr>
        <w:t>Process</w:t>
      </w:r>
      <w:proofErr w:type="spellEnd"/>
      <w:r w:rsidR="00111C79" w:rsidRPr="00C2202A">
        <w:rPr>
          <w:rFonts w:ascii="Times New Roman" w:hAnsi="Times New Roman" w:cs="Times New Roman"/>
          <w:sz w:val="20"/>
          <w:szCs w:val="20"/>
          <w:lang w:val="es-ES_tradnl"/>
        </w:rPr>
        <w:t xml:space="preserve"> </w:t>
      </w:r>
      <w:proofErr w:type="spellStart"/>
      <w:r w:rsidR="00111C79" w:rsidRPr="00C2202A">
        <w:rPr>
          <w:rFonts w:ascii="Times New Roman" w:hAnsi="Times New Roman" w:cs="Times New Roman"/>
          <w:sz w:val="20"/>
          <w:szCs w:val="20"/>
          <w:lang w:val="es-ES_tradnl"/>
        </w:rPr>
        <w:t>Rights</w:t>
      </w:r>
      <w:proofErr w:type="spellEnd"/>
      <w:r w:rsidR="00111C79" w:rsidRPr="00C2202A">
        <w:rPr>
          <w:rFonts w:ascii="Times New Roman" w:hAnsi="Times New Roman" w:cs="Times New Roman"/>
          <w:sz w:val="20"/>
          <w:szCs w:val="20"/>
          <w:lang w:val="es-ES_tradnl"/>
        </w:rPr>
        <w:t xml:space="preserve"> in </w:t>
      </w:r>
      <w:proofErr w:type="spellStart"/>
      <w:r w:rsidR="00111C79" w:rsidRPr="00C2202A">
        <w:rPr>
          <w:rFonts w:ascii="Times New Roman" w:hAnsi="Times New Roman" w:cs="Times New Roman"/>
          <w:sz w:val="20"/>
          <w:szCs w:val="20"/>
          <w:lang w:val="es-ES_tradnl"/>
        </w:rPr>
        <w:t>State</w:t>
      </w:r>
      <w:proofErr w:type="spellEnd"/>
      <w:r w:rsidR="00111C79" w:rsidRPr="00C2202A">
        <w:rPr>
          <w:rFonts w:ascii="Times New Roman" w:hAnsi="Times New Roman" w:cs="Times New Roman"/>
          <w:sz w:val="20"/>
          <w:szCs w:val="20"/>
          <w:lang w:val="es-ES_tradnl"/>
        </w:rPr>
        <w:t xml:space="preserve"> v. </w:t>
      </w:r>
      <w:proofErr w:type="spellStart"/>
      <w:r w:rsidR="00111C79" w:rsidRPr="00C2202A">
        <w:rPr>
          <w:rFonts w:ascii="Times New Roman" w:hAnsi="Times New Roman" w:cs="Times New Roman"/>
          <w:sz w:val="20"/>
          <w:szCs w:val="20"/>
          <w:lang w:val="es-ES_tradnl"/>
        </w:rPr>
        <w:t>Loomis</w:t>
      </w:r>
      <w:proofErr w:type="spellEnd"/>
      <w:r w:rsidR="00111C79" w:rsidRPr="00C2202A">
        <w:rPr>
          <w:rFonts w:ascii="Times New Roman" w:hAnsi="Times New Roman" w:cs="Times New Roman"/>
          <w:sz w:val="20"/>
          <w:szCs w:val="20"/>
          <w:lang w:val="es-ES_tradnl"/>
        </w:rPr>
        <w:t xml:space="preserve">», </w:t>
      </w:r>
      <w:r w:rsidR="00111C79" w:rsidRPr="00C2202A">
        <w:rPr>
          <w:rFonts w:ascii="Times New Roman" w:hAnsi="Times New Roman" w:cs="Times New Roman"/>
          <w:i/>
          <w:sz w:val="20"/>
          <w:szCs w:val="20"/>
          <w:lang w:val="es-ES_tradnl"/>
        </w:rPr>
        <w:t xml:space="preserve">North Carolina </w:t>
      </w:r>
      <w:proofErr w:type="spellStart"/>
      <w:r w:rsidR="00111C79" w:rsidRPr="00C2202A">
        <w:rPr>
          <w:rFonts w:ascii="Times New Roman" w:hAnsi="Times New Roman" w:cs="Times New Roman"/>
          <w:i/>
          <w:sz w:val="20"/>
          <w:szCs w:val="20"/>
          <w:lang w:val="es-ES_tradnl"/>
        </w:rPr>
        <w:t>Journal</w:t>
      </w:r>
      <w:proofErr w:type="spellEnd"/>
      <w:r w:rsidR="00111C79" w:rsidRPr="00C2202A">
        <w:rPr>
          <w:rFonts w:ascii="Times New Roman" w:hAnsi="Times New Roman" w:cs="Times New Roman"/>
          <w:i/>
          <w:sz w:val="20"/>
          <w:szCs w:val="20"/>
          <w:lang w:val="es-ES_tradnl"/>
        </w:rPr>
        <w:t xml:space="preserve"> of </w:t>
      </w:r>
      <w:proofErr w:type="spellStart"/>
      <w:r w:rsidR="00111C79" w:rsidRPr="00C2202A">
        <w:rPr>
          <w:rFonts w:ascii="Times New Roman" w:hAnsi="Times New Roman" w:cs="Times New Roman"/>
          <w:i/>
          <w:sz w:val="20"/>
          <w:szCs w:val="20"/>
          <w:lang w:val="es-ES_tradnl"/>
        </w:rPr>
        <w:t>Law&amp;Tecnology</w:t>
      </w:r>
      <w:proofErr w:type="spellEnd"/>
      <w:r w:rsidR="00111C79" w:rsidRPr="00C2202A">
        <w:rPr>
          <w:rFonts w:ascii="Times New Roman" w:hAnsi="Times New Roman" w:cs="Times New Roman"/>
          <w:sz w:val="20"/>
          <w:szCs w:val="20"/>
          <w:lang w:val="es-ES_tradnl"/>
        </w:rPr>
        <w:t xml:space="preserve">, vol. 18, </w:t>
      </w:r>
      <w:r w:rsidRPr="00C2202A">
        <w:rPr>
          <w:rFonts w:ascii="Times New Roman" w:eastAsia="Book Antiqua" w:hAnsi="Times New Roman" w:cs="Times New Roman"/>
          <w:color w:val="000000"/>
          <w:sz w:val="20"/>
          <w:szCs w:val="20"/>
        </w:rPr>
        <w:t>2016, p. 88</w:t>
      </w:r>
      <w:r w:rsidR="00DB6716">
        <w:rPr>
          <w:rFonts w:ascii="Times New Roman" w:eastAsia="Book Antiqua" w:hAnsi="Times New Roman" w:cs="Times New Roman"/>
          <w:color w:val="000000"/>
          <w:sz w:val="20"/>
          <w:szCs w:val="20"/>
        </w:rPr>
        <w:t>)</w:t>
      </w:r>
      <w:r w:rsidRPr="00C2202A">
        <w:rPr>
          <w:rFonts w:ascii="Times New Roman" w:eastAsia="Book Antiqua" w:hAnsi="Times New Roman" w:cs="Times New Roman"/>
          <w:color w:val="000000"/>
          <w:sz w:val="20"/>
          <w:szCs w:val="20"/>
        </w:rPr>
        <w:t xml:space="preserve">. </w:t>
      </w:r>
    </w:p>
  </w:footnote>
  <w:footnote w:id="13">
    <w:p w14:paraId="2CFF52D5" w14:textId="1DB38C9F" w:rsidR="00485B5F" w:rsidRPr="00C2202A" w:rsidRDefault="00485B5F" w:rsidP="005C1438">
      <w:pPr>
        <w:pBdr>
          <w:top w:val="nil"/>
          <w:left w:val="nil"/>
          <w:bottom w:val="nil"/>
          <w:right w:val="nil"/>
          <w:between w:val="nil"/>
        </w:pBdr>
        <w:jc w:val="both"/>
        <w:rPr>
          <w:rFonts w:ascii="Times New Roman" w:eastAsia="Times New Roman" w:hAnsi="Times New Roman" w:cs="Times New Roman"/>
          <w:color w:val="000000"/>
          <w:sz w:val="20"/>
          <w:szCs w:val="20"/>
        </w:rPr>
      </w:pPr>
      <w:r w:rsidRPr="00C2202A">
        <w:rPr>
          <w:rFonts w:ascii="Times New Roman" w:hAnsi="Times New Roman" w:cs="Times New Roman"/>
          <w:sz w:val="20"/>
          <w:szCs w:val="20"/>
          <w:vertAlign w:val="superscript"/>
        </w:rPr>
        <w:footnoteRef/>
      </w:r>
      <w:r w:rsidRPr="00C2202A">
        <w:rPr>
          <w:rFonts w:ascii="Times New Roman" w:eastAsia="Book Antiqua" w:hAnsi="Times New Roman" w:cs="Times New Roman"/>
          <w:color w:val="000000"/>
          <w:sz w:val="20"/>
          <w:szCs w:val="20"/>
        </w:rPr>
        <w:t xml:space="preserve"> </w:t>
      </w:r>
      <w:r w:rsidRPr="00C2202A">
        <w:rPr>
          <w:rFonts w:ascii="Times New Roman" w:eastAsia="Book Antiqua" w:hAnsi="Times New Roman" w:cs="Times New Roman"/>
          <w:smallCaps/>
          <w:color w:val="000000"/>
          <w:sz w:val="20"/>
          <w:szCs w:val="20"/>
        </w:rPr>
        <w:t>De Miguel Beriain</w:t>
      </w:r>
      <w:r w:rsidRPr="00C2202A">
        <w:rPr>
          <w:rFonts w:ascii="Times New Roman" w:eastAsia="Book Antiqua" w:hAnsi="Times New Roman" w:cs="Times New Roman"/>
          <w:color w:val="000000"/>
          <w:sz w:val="20"/>
          <w:szCs w:val="20"/>
        </w:rPr>
        <w:t>,</w:t>
      </w:r>
      <w:r w:rsidR="005C1438" w:rsidRPr="00C2202A">
        <w:rPr>
          <w:rFonts w:ascii="Times New Roman" w:eastAsia="Book Antiqua" w:hAnsi="Times New Roman" w:cs="Times New Roman"/>
          <w:color w:val="000000"/>
          <w:sz w:val="20"/>
          <w:szCs w:val="20"/>
        </w:rPr>
        <w:t xml:space="preserve"> I.,</w:t>
      </w:r>
      <w:r w:rsidRPr="00C2202A">
        <w:rPr>
          <w:rFonts w:ascii="Times New Roman" w:eastAsia="Book Antiqua" w:hAnsi="Times New Roman" w:cs="Times New Roman"/>
          <w:color w:val="000000"/>
          <w:sz w:val="20"/>
          <w:szCs w:val="20"/>
        </w:rPr>
        <w:t xml:space="preserve"> 2018, p. 49. </w:t>
      </w:r>
    </w:p>
  </w:footnote>
  <w:footnote w:id="14">
    <w:p w14:paraId="5A197E0F" w14:textId="77777777" w:rsidR="00485B5F" w:rsidRPr="00C2202A" w:rsidRDefault="00485B5F" w:rsidP="005C1438">
      <w:pPr>
        <w:pBdr>
          <w:top w:val="nil"/>
          <w:left w:val="nil"/>
          <w:bottom w:val="nil"/>
          <w:right w:val="nil"/>
          <w:between w:val="nil"/>
        </w:pBdr>
        <w:jc w:val="both"/>
        <w:rPr>
          <w:rFonts w:ascii="Times New Roman" w:eastAsia="Book Antiqua" w:hAnsi="Times New Roman" w:cs="Times New Roman"/>
          <w:color w:val="000000"/>
          <w:sz w:val="20"/>
          <w:szCs w:val="20"/>
        </w:rPr>
      </w:pPr>
      <w:r w:rsidRPr="00C2202A">
        <w:rPr>
          <w:rFonts w:ascii="Times New Roman" w:hAnsi="Times New Roman" w:cs="Times New Roman"/>
          <w:sz w:val="20"/>
          <w:szCs w:val="20"/>
          <w:vertAlign w:val="superscript"/>
        </w:rPr>
        <w:footnoteRef/>
      </w:r>
      <w:r w:rsidRPr="00C2202A">
        <w:rPr>
          <w:rFonts w:ascii="Times New Roman" w:eastAsia="Book Antiqua" w:hAnsi="Times New Roman" w:cs="Times New Roman"/>
          <w:color w:val="000000"/>
          <w:sz w:val="20"/>
          <w:szCs w:val="20"/>
        </w:rPr>
        <w:t xml:space="preserve"> Dicha cuestión ya se planteó en el caso </w:t>
      </w:r>
      <w:proofErr w:type="spellStart"/>
      <w:r w:rsidRPr="00C2202A">
        <w:rPr>
          <w:rFonts w:ascii="Times New Roman" w:eastAsia="Book Antiqua" w:hAnsi="Times New Roman" w:cs="Times New Roman"/>
          <w:i/>
          <w:color w:val="000000"/>
          <w:sz w:val="20"/>
          <w:szCs w:val="20"/>
        </w:rPr>
        <w:t>State</w:t>
      </w:r>
      <w:proofErr w:type="spellEnd"/>
      <w:r w:rsidRPr="00C2202A">
        <w:rPr>
          <w:rFonts w:ascii="Times New Roman" w:eastAsia="Book Antiqua" w:hAnsi="Times New Roman" w:cs="Times New Roman"/>
          <w:i/>
          <w:color w:val="000000"/>
          <w:sz w:val="20"/>
          <w:szCs w:val="20"/>
        </w:rPr>
        <w:t xml:space="preserve"> v. </w:t>
      </w:r>
      <w:proofErr w:type="spellStart"/>
      <w:r w:rsidRPr="00C2202A">
        <w:rPr>
          <w:rFonts w:ascii="Times New Roman" w:eastAsia="Book Antiqua" w:hAnsi="Times New Roman" w:cs="Times New Roman"/>
          <w:i/>
          <w:color w:val="000000"/>
          <w:sz w:val="20"/>
          <w:szCs w:val="20"/>
        </w:rPr>
        <w:t>Loomis</w:t>
      </w:r>
      <w:proofErr w:type="spellEnd"/>
      <w:r w:rsidRPr="00C2202A">
        <w:rPr>
          <w:rFonts w:ascii="Times New Roman" w:eastAsia="Book Antiqua" w:hAnsi="Times New Roman" w:cs="Times New Roman"/>
          <w:color w:val="000000"/>
          <w:sz w:val="20"/>
          <w:szCs w:val="20"/>
        </w:rPr>
        <w:t xml:space="preserve"> a raíz del voto concurrente de la juez </w:t>
      </w:r>
      <w:proofErr w:type="spellStart"/>
      <w:r w:rsidRPr="00C2202A">
        <w:rPr>
          <w:rFonts w:ascii="Times New Roman" w:eastAsia="Book Antiqua" w:hAnsi="Times New Roman" w:cs="Times New Roman"/>
          <w:color w:val="000000"/>
          <w:sz w:val="20"/>
          <w:szCs w:val="20"/>
        </w:rPr>
        <w:t>Abrahamson</w:t>
      </w:r>
      <w:proofErr w:type="spellEnd"/>
      <w:r w:rsidRPr="00C2202A">
        <w:rPr>
          <w:rFonts w:ascii="Times New Roman" w:eastAsia="Book Antiqua" w:hAnsi="Times New Roman" w:cs="Times New Roman"/>
          <w:color w:val="000000"/>
          <w:sz w:val="20"/>
          <w:szCs w:val="20"/>
        </w:rPr>
        <w:t xml:space="preserve"> quien expresó su acuerdo con el sentido de la resolución, pero se mostró preocupada por el hecho de que el tribunal tuviera dificultades para entender evaluaciones de riesgo algorítmicas. </w:t>
      </w:r>
    </w:p>
  </w:footnote>
  <w:footnote w:id="15">
    <w:p w14:paraId="705386F0" w14:textId="4FCA0C1B" w:rsidR="00485B5F" w:rsidRPr="004F1878" w:rsidRDefault="00485B5F" w:rsidP="005C1438">
      <w:pPr>
        <w:autoSpaceDE w:val="0"/>
        <w:autoSpaceDN w:val="0"/>
        <w:adjustRightInd w:val="0"/>
        <w:jc w:val="both"/>
        <w:rPr>
          <w:rFonts w:ascii="Times New Roman" w:hAnsi="Times New Roman" w:cs="Times New Roman"/>
          <w:sz w:val="20"/>
          <w:szCs w:val="20"/>
          <w:lang w:val="en-US"/>
        </w:rPr>
      </w:pPr>
      <w:r w:rsidRPr="00C2202A">
        <w:rPr>
          <w:rFonts w:ascii="Times New Roman" w:hAnsi="Times New Roman" w:cs="Times New Roman"/>
          <w:sz w:val="20"/>
          <w:szCs w:val="20"/>
          <w:vertAlign w:val="superscript"/>
        </w:rPr>
        <w:footnoteRef/>
      </w:r>
      <w:r w:rsidRPr="00C2202A">
        <w:rPr>
          <w:rFonts w:ascii="Times New Roman" w:eastAsia="Book Antiqua" w:hAnsi="Times New Roman" w:cs="Times New Roman"/>
          <w:color w:val="000000"/>
          <w:sz w:val="20"/>
          <w:szCs w:val="20"/>
        </w:rPr>
        <w:t xml:space="preserve"> En relación específicamente con el algoritmo COMPAS (uno de los más extendidos en el sistema penal de EE.UU.), </w:t>
      </w:r>
      <w:proofErr w:type="spellStart"/>
      <w:r w:rsidRPr="00C2202A">
        <w:rPr>
          <w:rFonts w:ascii="Times New Roman" w:eastAsia="Book Antiqua" w:hAnsi="Times New Roman" w:cs="Times New Roman"/>
          <w:color w:val="000000"/>
          <w:sz w:val="20"/>
          <w:szCs w:val="20"/>
        </w:rPr>
        <w:t>ProPublica</w:t>
      </w:r>
      <w:proofErr w:type="spellEnd"/>
      <w:r w:rsidRPr="00C2202A">
        <w:rPr>
          <w:rFonts w:ascii="Times New Roman" w:eastAsia="Book Antiqua" w:hAnsi="Times New Roman" w:cs="Times New Roman"/>
          <w:color w:val="000000"/>
          <w:sz w:val="20"/>
          <w:szCs w:val="20"/>
        </w:rPr>
        <w:t xml:space="preserve">, un consorcio independiente dedicado al periodismo de investigación, llevó a cabo en 2016 un análisis del mismo que puso de manifiesto fuertes inconsistencias en los resultados obtenidos mediante dicho instrumental predictivo que afectaban no solo a su fiabilidad sino a la posibilidad de que produjera un fuerte sesgo racial. </w:t>
      </w:r>
      <w:r w:rsidRPr="004F1878">
        <w:rPr>
          <w:rFonts w:ascii="Times New Roman" w:eastAsia="Book Antiqua" w:hAnsi="Times New Roman" w:cs="Times New Roman"/>
          <w:color w:val="000000"/>
          <w:sz w:val="20"/>
          <w:szCs w:val="20"/>
          <w:lang w:val="en-US"/>
        </w:rPr>
        <w:t>(</w:t>
      </w:r>
      <w:r w:rsidRPr="004F1878">
        <w:rPr>
          <w:rFonts w:ascii="Times New Roman" w:eastAsia="Book Antiqua" w:hAnsi="Times New Roman" w:cs="Times New Roman"/>
          <w:smallCaps/>
          <w:color w:val="000000"/>
          <w:sz w:val="20"/>
          <w:szCs w:val="20"/>
          <w:lang w:val="en-US"/>
        </w:rPr>
        <w:t>Larson</w:t>
      </w:r>
      <w:r w:rsidR="00111C79" w:rsidRPr="004F1878">
        <w:rPr>
          <w:rFonts w:ascii="Times New Roman" w:eastAsia="Book Antiqua" w:hAnsi="Times New Roman" w:cs="Times New Roman"/>
          <w:smallCaps/>
          <w:color w:val="000000"/>
          <w:sz w:val="20"/>
          <w:szCs w:val="20"/>
          <w:lang w:val="en-US"/>
        </w:rPr>
        <w:t>, J.</w:t>
      </w:r>
      <w:r w:rsidRPr="004F1878">
        <w:rPr>
          <w:rFonts w:ascii="Times New Roman" w:eastAsia="Book Antiqua" w:hAnsi="Times New Roman" w:cs="Times New Roman"/>
          <w:color w:val="000000"/>
          <w:sz w:val="20"/>
          <w:szCs w:val="20"/>
          <w:lang w:val="en-US"/>
        </w:rPr>
        <w:t xml:space="preserve"> et al.,</w:t>
      </w:r>
      <w:r w:rsidR="00111C79" w:rsidRPr="004F1878">
        <w:rPr>
          <w:rFonts w:ascii="Times New Roman" w:eastAsia="Book Antiqua" w:hAnsi="Times New Roman" w:cs="Times New Roman"/>
          <w:color w:val="000000"/>
          <w:sz w:val="20"/>
          <w:szCs w:val="20"/>
          <w:lang w:val="en-US"/>
        </w:rPr>
        <w:t xml:space="preserve"> </w:t>
      </w:r>
      <w:r w:rsidR="00111C79" w:rsidRPr="004F1878">
        <w:rPr>
          <w:rFonts w:ascii="Times New Roman" w:hAnsi="Times New Roman" w:cs="Times New Roman"/>
          <w:sz w:val="20"/>
          <w:szCs w:val="20"/>
          <w:lang w:val="en-US"/>
        </w:rPr>
        <w:t xml:space="preserve">«How we analyzed the COMPAS Recidivism Algorithm», </w:t>
      </w:r>
      <w:r w:rsidR="00111C79" w:rsidRPr="004F1878">
        <w:rPr>
          <w:rFonts w:ascii="Times New Roman" w:hAnsi="Times New Roman" w:cs="Times New Roman"/>
          <w:i/>
          <w:sz w:val="20"/>
          <w:szCs w:val="20"/>
          <w:lang w:val="en-US"/>
        </w:rPr>
        <w:t>ProPublica</w:t>
      </w:r>
      <w:r w:rsidR="00111C79" w:rsidRPr="004F1878">
        <w:rPr>
          <w:rFonts w:ascii="Times New Roman" w:hAnsi="Times New Roman" w:cs="Times New Roman"/>
          <w:sz w:val="20"/>
          <w:szCs w:val="20"/>
          <w:lang w:val="en-US"/>
        </w:rPr>
        <w:t>,</w:t>
      </w:r>
      <w:r w:rsidRPr="004F1878">
        <w:rPr>
          <w:rFonts w:ascii="Times New Roman" w:eastAsia="Book Antiqua" w:hAnsi="Times New Roman" w:cs="Times New Roman"/>
          <w:color w:val="000000"/>
          <w:sz w:val="20"/>
          <w:szCs w:val="20"/>
          <w:lang w:val="en-US"/>
        </w:rPr>
        <w:t xml:space="preserve"> 2016). </w:t>
      </w:r>
    </w:p>
  </w:footnote>
  <w:footnote w:id="16">
    <w:p w14:paraId="4F6C9A26" w14:textId="1F49E70E" w:rsidR="00485B5F" w:rsidRPr="00C2202A" w:rsidRDefault="00485B5F" w:rsidP="005C1438">
      <w:pPr>
        <w:pBdr>
          <w:top w:val="nil"/>
          <w:left w:val="nil"/>
          <w:bottom w:val="nil"/>
          <w:right w:val="nil"/>
          <w:between w:val="nil"/>
        </w:pBdr>
        <w:jc w:val="both"/>
        <w:rPr>
          <w:rFonts w:ascii="Times New Roman" w:eastAsia="Book Antiqua" w:hAnsi="Times New Roman" w:cs="Times New Roman"/>
          <w:color w:val="000000"/>
          <w:sz w:val="20"/>
          <w:szCs w:val="20"/>
          <w:lang w:val="en-US"/>
        </w:rPr>
      </w:pPr>
      <w:r w:rsidRPr="00C2202A">
        <w:rPr>
          <w:rFonts w:ascii="Times New Roman" w:hAnsi="Times New Roman" w:cs="Times New Roman"/>
          <w:sz w:val="20"/>
          <w:szCs w:val="20"/>
          <w:vertAlign w:val="superscript"/>
        </w:rPr>
        <w:footnoteRef/>
      </w:r>
      <w:r w:rsidRPr="004F1878">
        <w:rPr>
          <w:rFonts w:ascii="Times New Roman" w:eastAsia="Book Antiqua" w:hAnsi="Times New Roman" w:cs="Times New Roman"/>
          <w:color w:val="000000"/>
          <w:sz w:val="20"/>
          <w:szCs w:val="20"/>
          <w:lang w:val="en-US"/>
        </w:rPr>
        <w:t xml:space="preserve"> </w:t>
      </w:r>
      <w:proofErr w:type="spellStart"/>
      <w:r w:rsidRPr="00C2202A">
        <w:rPr>
          <w:rFonts w:ascii="Times New Roman" w:eastAsia="Book Antiqua" w:hAnsi="Times New Roman" w:cs="Times New Roman"/>
          <w:color w:val="000000"/>
          <w:sz w:val="20"/>
          <w:szCs w:val="20"/>
          <w:lang w:val="en-US"/>
        </w:rPr>
        <w:t>Véase</w:t>
      </w:r>
      <w:proofErr w:type="spellEnd"/>
      <w:r w:rsidRPr="00C2202A">
        <w:rPr>
          <w:rFonts w:ascii="Times New Roman" w:eastAsia="Book Antiqua" w:hAnsi="Times New Roman" w:cs="Times New Roman"/>
          <w:color w:val="000000"/>
          <w:sz w:val="20"/>
          <w:szCs w:val="20"/>
          <w:lang w:val="en-US"/>
        </w:rPr>
        <w:t xml:space="preserve"> </w:t>
      </w:r>
      <w:r w:rsidRPr="00C2202A">
        <w:rPr>
          <w:rFonts w:ascii="Times New Roman" w:eastAsia="Book Antiqua" w:hAnsi="Times New Roman" w:cs="Times New Roman"/>
          <w:smallCaps/>
          <w:color w:val="000000"/>
          <w:sz w:val="20"/>
          <w:szCs w:val="20"/>
          <w:lang w:val="en-US"/>
        </w:rPr>
        <w:t>Starr</w:t>
      </w:r>
      <w:r w:rsidRPr="00C2202A">
        <w:rPr>
          <w:rFonts w:ascii="Times New Roman" w:eastAsia="Book Antiqua" w:hAnsi="Times New Roman" w:cs="Times New Roman"/>
          <w:color w:val="000000"/>
          <w:sz w:val="20"/>
          <w:szCs w:val="20"/>
          <w:lang w:val="en-US"/>
        </w:rPr>
        <w:t>,</w:t>
      </w:r>
      <w:r w:rsidR="005C1438" w:rsidRPr="00C2202A">
        <w:rPr>
          <w:rFonts w:ascii="Times New Roman" w:eastAsia="Book Antiqua" w:hAnsi="Times New Roman" w:cs="Times New Roman"/>
          <w:color w:val="000000"/>
          <w:sz w:val="20"/>
          <w:szCs w:val="20"/>
          <w:lang w:val="en-US"/>
        </w:rPr>
        <w:t xml:space="preserve"> S.</w:t>
      </w:r>
      <w:r w:rsidR="00AE6BF1" w:rsidRPr="00C2202A">
        <w:rPr>
          <w:rFonts w:ascii="Times New Roman" w:eastAsia="Book Antiqua" w:hAnsi="Times New Roman" w:cs="Times New Roman"/>
          <w:color w:val="000000"/>
          <w:sz w:val="20"/>
          <w:szCs w:val="20"/>
          <w:lang w:val="en-US"/>
        </w:rPr>
        <w:t>B.</w:t>
      </w:r>
      <w:r w:rsidR="005C1438" w:rsidRPr="00C2202A">
        <w:rPr>
          <w:rFonts w:ascii="Times New Roman" w:eastAsia="Book Antiqua" w:hAnsi="Times New Roman" w:cs="Times New Roman"/>
          <w:color w:val="000000"/>
          <w:sz w:val="20"/>
          <w:szCs w:val="20"/>
          <w:lang w:val="en-US"/>
        </w:rPr>
        <w:t>,</w:t>
      </w:r>
      <w:r w:rsidRPr="00C2202A">
        <w:rPr>
          <w:rFonts w:ascii="Times New Roman" w:eastAsia="Book Antiqua" w:hAnsi="Times New Roman" w:cs="Times New Roman"/>
          <w:color w:val="000000"/>
          <w:sz w:val="20"/>
          <w:szCs w:val="20"/>
          <w:lang w:val="en-US"/>
        </w:rPr>
        <w:t xml:space="preserve"> 2014, p. 838. </w:t>
      </w:r>
    </w:p>
  </w:footnote>
  <w:footnote w:id="17">
    <w:p w14:paraId="1462927A" w14:textId="7131C2F3" w:rsidR="00485B5F" w:rsidRPr="004F1878" w:rsidRDefault="00485B5F" w:rsidP="005C1438">
      <w:pPr>
        <w:autoSpaceDE w:val="0"/>
        <w:autoSpaceDN w:val="0"/>
        <w:adjustRightInd w:val="0"/>
        <w:jc w:val="both"/>
        <w:rPr>
          <w:rFonts w:ascii="Times New Roman" w:hAnsi="Times New Roman" w:cs="Times New Roman"/>
          <w:sz w:val="20"/>
          <w:szCs w:val="20"/>
          <w:lang w:val="en-US"/>
        </w:rPr>
      </w:pPr>
      <w:r w:rsidRPr="00C2202A">
        <w:rPr>
          <w:rFonts w:ascii="Times New Roman" w:hAnsi="Times New Roman" w:cs="Times New Roman"/>
          <w:sz w:val="20"/>
          <w:szCs w:val="20"/>
          <w:vertAlign w:val="superscript"/>
        </w:rPr>
        <w:footnoteRef/>
      </w:r>
      <w:r w:rsidRPr="00C2202A">
        <w:rPr>
          <w:rFonts w:ascii="Times New Roman" w:eastAsia="Book Antiqua" w:hAnsi="Times New Roman" w:cs="Times New Roman"/>
          <w:color w:val="000000"/>
          <w:sz w:val="20"/>
          <w:szCs w:val="20"/>
          <w:lang w:val="en-US"/>
        </w:rPr>
        <w:t xml:space="preserve"> </w:t>
      </w:r>
      <w:proofErr w:type="spellStart"/>
      <w:r w:rsidRPr="00C2202A">
        <w:rPr>
          <w:rFonts w:ascii="Times New Roman" w:eastAsia="Book Antiqua" w:hAnsi="Times New Roman" w:cs="Times New Roman"/>
          <w:smallCaps/>
          <w:color w:val="000000"/>
          <w:sz w:val="20"/>
          <w:szCs w:val="20"/>
          <w:lang w:val="en-US"/>
        </w:rPr>
        <w:t>Tonry</w:t>
      </w:r>
      <w:proofErr w:type="spellEnd"/>
      <w:r w:rsidRPr="00C2202A">
        <w:rPr>
          <w:rFonts w:ascii="Times New Roman" w:eastAsia="Book Antiqua" w:hAnsi="Times New Roman" w:cs="Times New Roman"/>
          <w:color w:val="000000"/>
          <w:sz w:val="20"/>
          <w:szCs w:val="20"/>
          <w:lang w:val="en-US"/>
        </w:rPr>
        <w:t>,</w:t>
      </w:r>
      <w:r w:rsidR="005E009C" w:rsidRPr="00C2202A">
        <w:rPr>
          <w:rFonts w:ascii="Times New Roman" w:eastAsia="Book Antiqua" w:hAnsi="Times New Roman" w:cs="Times New Roman"/>
          <w:color w:val="000000"/>
          <w:sz w:val="20"/>
          <w:szCs w:val="20"/>
          <w:lang w:val="en-US"/>
        </w:rPr>
        <w:t xml:space="preserve"> M., </w:t>
      </w:r>
      <w:r w:rsidR="005E009C" w:rsidRPr="004F1878">
        <w:rPr>
          <w:rFonts w:ascii="Times New Roman" w:hAnsi="Times New Roman" w:cs="Times New Roman"/>
          <w:sz w:val="20"/>
          <w:szCs w:val="20"/>
          <w:lang w:val="en-US"/>
        </w:rPr>
        <w:t xml:space="preserve">«Legal and Ethical Issues in the Prediction of </w:t>
      </w:r>
      <w:proofErr w:type="spellStart"/>
      <w:r w:rsidR="005E009C" w:rsidRPr="004F1878">
        <w:rPr>
          <w:rFonts w:ascii="Times New Roman" w:hAnsi="Times New Roman" w:cs="Times New Roman"/>
          <w:sz w:val="20"/>
          <w:szCs w:val="20"/>
          <w:lang w:val="en-US"/>
        </w:rPr>
        <w:t>Recidism</w:t>
      </w:r>
      <w:proofErr w:type="spellEnd"/>
      <w:r w:rsidR="005E009C" w:rsidRPr="004F1878">
        <w:rPr>
          <w:rFonts w:ascii="Times New Roman" w:hAnsi="Times New Roman" w:cs="Times New Roman"/>
          <w:sz w:val="20"/>
          <w:szCs w:val="20"/>
          <w:lang w:val="en-US"/>
        </w:rPr>
        <w:t xml:space="preserve">», </w:t>
      </w:r>
      <w:r w:rsidR="005E009C" w:rsidRPr="004F1878">
        <w:rPr>
          <w:rFonts w:ascii="Times New Roman" w:hAnsi="Times New Roman" w:cs="Times New Roman"/>
          <w:i/>
          <w:sz w:val="20"/>
          <w:szCs w:val="20"/>
          <w:lang w:val="en-US"/>
        </w:rPr>
        <w:t>Fed. Sentencing R.,</w:t>
      </w:r>
      <w:r w:rsidR="005E009C" w:rsidRPr="004F1878">
        <w:rPr>
          <w:rFonts w:ascii="Times New Roman" w:hAnsi="Times New Roman" w:cs="Times New Roman"/>
          <w:sz w:val="20"/>
          <w:szCs w:val="20"/>
          <w:lang w:val="en-US"/>
        </w:rPr>
        <w:t xml:space="preserve"> vol. 26, </w:t>
      </w:r>
      <w:proofErr w:type="spellStart"/>
      <w:r w:rsidR="005E009C" w:rsidRPr="004F1878">
        <w:rPr>
          <w:rFonts w:ascii="Times New Roman" w:hAnsi="Times New Roman" w:cs="Times New Roman"/>
          <w:sz w:val="20"/>
          <w:szCs w:val="20"/>
          <w:lang w:val="en-US"/>
        </w:rPr>
        <w:t>núm</w:t>
      </w:r>
      <w:proofErr w:type="spellEnd"/>
      <w:r w:rsidR="005E009C" w:rsidRPr="004F1878">
        <w:rPr>
          <w:rFonts w:ascii="Times New Roman" w:hAnsi="Times New Roman" w:cs="Times New Roman"/>
          <w:sz w:val="20"/>
          <w:szCs w:val="20"/>
          <w:lang w:val="en-US"/>
        </w:rPr>
        <w:t>. 3</w:t>
      </w:r>
      <w:r w:rsidR="00AE6BF1" w:rsidRPr="004F1878">
        <w:rPr>
          <w:rFonts w:ascii="Times New Roman" w:hAnsi="Times New Roman" w:cs="Times New Roman"/>
          <w:sz w:val="20"/>
          <w:szCs w:val="20"/>
          <w:lang w:val="en-US"/>
        </w:rPr>
        <w:t>,</w:t>
      </w:r>
      <w:r w:rsidRPr="00C2202A">
        <w:rPr>
          <w:rFonts w:ascii="Times New Roman" w:eastAsia="Book Antiqua" w:hAnsi="Times New Roman" w:cs="Times New Roman"/>
          <w:color w:val="000000"/>
          <w:sz w:val="20"/>
          <w:szCs w:val="20"/>
          <w:lang w:val="en-US"/>
        </w:rPr>
        <w:t xml:space="preserve"> 2014, p. 172; </w:t>
      </w:r>
      <w:r w:rsidRPr="00C2202A">
        <w:rPr>
          <w:rFonts w:ascii="Times New Roman" w:eastAsia="Book Antiqua" w:hAnsi="Times New Roman" w:cs="Times New Roman"/>
          <w:smallCaps/>
          <w:color w:val="000000"/>
          <w:sz w:val="20"/>
          <w:szCs w:val="20"/>
          <w:lang w:val="en-US"/>
        </w:rPr>
        <w:t>Lee Park,</w:t>
      </w:r>
      <w:r w:rsidR="005E009C" w:rsidRPr="00C2202A">
        <w:rPr>
          <w:rFonts w:ascii="Times New Roman" w:eastAsia="Book Antiqua" w:hAnsi="Times New Roman" w:cs="Times New Roman"/>
          <w:smallCaps/>
          <w:color w:val="000000"/>
          <w:sz w:val="20"/>
          <w:szCs w:val="20"/>
          <w:lang w:val="en-US"/>
        </w:rPr>
        <w:t xml:space="preserve"> A., </w:t>
      </w:r>
      <w:r w:rsidR="005E009C" w:rsidRPr="004F1878">
        <w:rPr>
          <w:rFonts w:ascii="Times New Roman" w:hAnsi="Times New Roman" w:cs="Times New Roman"/>
          <w:sz w:val="20"/>
          <w:szCs w:val="20"/>
          <w:lang w:val="en-US"/>
        </w:rPr>
        <w:t xml:space="preserve">«Injustice ex machina: Predictive Algorithms in Criminal Sentencing», </w:t>
      </w:r>
      <w:r w:rsidR="005E009C" w:rsidRPr="004F1878">
        <w:rPr>
          <w:rFonts w:ascii="Times New Roman" w:hAnsi="Times New Roman" w:cs="Times New Roman"/>
          <w:i/>
          <w:sz w:val="20"/>
          <w:szCs w:val="20"/>
          <w:lang w:val="en-US"/>
        </w:rPr>
        <w:t>UCLA Law Review</w:t>
      </w:r>
      <w:r w:rsidR="005C1438" w:rsidRPr="004F1878">
        <w:rPr>
          <w:rFonts w:ascii="Times New Roman" w:hAnsi="Times New Roman" w:cs="Times New Roman"/>
          <w:sz w:val="20"/>
          <w:szCs w:val="20"/>
          <w:lang w:val="en-US"/>
        </w:rPr>
        <w:t>,</w:t>
      </w:r>
      <w:r w:rsidRPr="00C2202A">
        <w:rPr>
          <w:rFonts w:ascii="Times New Roman" w:eastAsia="Book Antiqua" w:hAnsi="Times New Roman" w:cs="Times New Roman"/>
          <w:smallCaps/>
          <w:color w:val="000000"/>
          <w:sz w:val="20"/>
          <w:szCs w:val="20"/>
          <w:lang w:val="en-US"/>
        </w:rPr>
        <w:t xml:space="preserve"> </w:t>
      </w:r>
      <w:r w:rsidRPr="00C2202A">
        <w:rPr>
          <w:rFonts w:ascii="Times New Roman" w:eastAsia="Book Antiqua" w:hAnsi="Times New Roman" w:cs="Times New Roman"/>
          <w:color w:val="000000"/>
          <w:sz w:val="20"/>
          <w:szCs w:val="20"/>
          <w:lang w:val="en-US"/>
        </w:rPr>
        <w:t xml:space="preserve">2019. </w:t>
      </w:r>
    </w:p>
  </w:footnote>
  <w:footnote w:id="18">
    <w:p w14:paraId="1AC9084D" w14:textId="2D52734C" w:rsidR="00485B5F" w:rsidRPr="00C2202A" w:rsidRDefault="00485B5F" w:rsidP="005C1438">
      <w:pPr>
        <w:autoSpaceDE w:val="0"/>
        <w:autoSpaceDN w:val="0"/>
        <w:adjustRightInd w:val="0"/>
        <w:jc w:val="both"/>
        <w:rPr>
          <w:rFonts w:ascii="Times New Roman" w:hAnsi="Times New Roman" w:cs="Times New Roman"/>
          <w:sz w:val="20"/>
          <w:szCs w:val="20"/>
          <w:lang w:val="es-ES_tradnl"/>
        </w:rPr>
      </w:pPr>
      <w:r w:rsidRPr="00C2202A">
        <w:rPr>
          <w:rFonts w:ascii="Times New Roman" w:hAnsi="Times New Roman" w:cs="Times New Roman"/>
          <w:sz w:val="20"/>
          <w:szCs w:val="20"/>
          <w:vertAlign w:val="superscript"/>
        </w:rPr>
        <w:footnoteRef/>
      </w:r>
      <w:r w:rsidRPr="004F1878">
        <w:rPr>
          <w:rFonts w:ascii="Times New Roman" w:eastAsia="Times New Roman" w:hAnsi="Times New Roman" w:cs="Times New Roman"/>
          <w:color w:val="000000"/>
          <w:sz w:val="20"/>
          <w:szCs w:val="20"/>
        </w:rPr>
        <w:t xml:space="preserve"> </w:t>
      </w:r>
      <w:r w:rsidRPr="004F1878">
        <w:rPr>
          <w:rFonts w:ascii="Times New Roman" w:eastAsia="Book Antiqua" w:hAnsi="Times New Roman" w:cs="Times New Roman"/>
          <w:smallCaps/>
          <w:color w:val="000000"/>
          <w:sz w:val="20"/>
          <w:szCs w:val="20"/>
        </w:rPr>
        <w:t>Gil González</w:t>
      </w:r>
      <w:r w:rsidRPr="004F1878">
        <w:rPr>
          <w:rFonts w:ascii="Times New Roman" w:eastAsia="Book Antiqua" w:hAnsi="Times New Roman" w:cs="Times New Roman"/>
          <w:color w:val="000000"/>
          <w:sz w:val="20"/>
          <w:szCs w:val="20"/>
        </w:rPr>
        <w:t>,</w:t>
      </w:r>
      <w:r w:rsidR="005E009C" w:rsidRPr="004F1878">
        <w:rPr>
          <w:rFonts w:ascii="Times New Roman" w:eastAsia="Book Antiqua" w:hAnsi="Times New Roman" w:cs="Times New Roman"/>
          <w:color w:val="000000"/>
          <w:sz w:val="20"/>
          <w:szCs w:val="20"/>
        </w:rPr>
        <w:t xml:space="preserve"> E., </w:t>
      </w:r>
      <w:r w:rsidR="005E009C" w:rsidRPr="00C2202A">
        <w:rPr>
          <w:rFonts w:ascii="Times New Roman" w:hAnsi="Times New Roman" w:cs="Times New Roman"/>
          <w:i/>
          <w:sz w:val="20"/>
          <w:szCs w:val="20"/>
          <w:lang w:val="es-ES_tradnl"/>
        </w:rPr>
        <w:t>Big data, privacidad y protección de datos</w:t>
      </w:r>
      <w:r w:rsidR="005E009C" w:rsidRPr="00C2202A">
        <w:rPr>
          <w:rFonts w:ascii="Times New Roman" w:hAnsi="Times New Roman" w:cs="Times New Roman"/>
          <w:sz w:val="20"/>
          <w:szCs w:val="20"/>
          <w:lang w:val="es-ES_tradnl"/>
        </w:rPr>
        <w:t>, Madrid</w:t>
      </w:r>
      <w:r w:rsidR="005C1438" w:rsidRPr="00C2202A">
        <w:rPr>
          <w:rFonts w:ascii="Times New Roman" w:hAnsi="Times New Roman" w:cs="Times New Roman"/>
          <w:sz w:val="20"/>
          <w:szCs w:val="20"/>
          <w:lang w:val="es-ES_tradnl"/>
        </w:rPr>
        <w:t>,</w:t>
      </w:r>
      <w:r w:rsidR="005E009C" w:rsidRPr="00C2202A">
        <w:rPr>
          <w:rFonts w:ascii="Times New Roman" w:hAnsi="Times New Roman" w:cs="Times New Roman"/>
          <w:sz w:val="20"/>
          <w:szCs w:val="20"/>
          <w:lang w:val="es-ES_tradnl"/>
        </w:rPr>
        <w:t xml:space="preserve"> Agencia española de protección de datos,</w:t>
      </w:r>
      <w:r w:rsidRPr="004F1878">
        <w:rPr>
          <w:rFonts w:ascii="Times New Roman" w:eastAsia="Book Antiqua" w:hAnsi="Times New Roman" w:cs="Times New Roman"/>
          <w:color w:val="000000"/>
          <w:sz w:val="20"/>
          <w:szCs w:val="20"/>
        </w:rPr>
        <w:t xml:space="preserve"> 2016, pp. 28 y 33.</w:t>
      </w:r>
    </w:p>
  </w:footnote>
  <w:footnote w:id="19">
    <w:p w14:paraId="132970A4" w14:textId="1E70F7A1" w:rsidR="00485B5F" w:rsidRPr="004F1878" w:rsidRDefault="00485B5F" w:rsidP="005C1438">
      <w:pPr>
        <w:autoSpaceDE w:val="0"/>
        <w:autoSpaceDN w:val="0"/>
        <w:adjustRightInd w:val="0"/>
        <w:jc w:val="both"/>
        <w:rPr>
          <w:rFonts w:ascii="Times New Roman" w:hAnsi="Times New Roman" w:cs="Times New Roman"/>
          <w:sz w:val="20"/>
          <w:szCs w:val="20"/>
          <w:lang w:val="en-US"/>
        </w:rPr>
      </w:pPr>
      <w:r w:rsidRPr="00C2202A">
        <w:rPr>
          <w:rFonts w:ascii="Times New Roman" w:hAnsi="Times New Roman" w:cs="Times New Roman"/>
          <w:sz w:val="20"/>
          <w:szCs w:val="20"/>
          <w:vertAlign w:val="superscript"/>
        </w:rPr>
        <w:footnoteRef/>
      </w:r>
      <w:r w:rsidRPr="00C2202A">
        <w:rPr>
          <w:rFonts w:ascii="Times New Roman" w:eastAsia="Book Antiqua" w:hAnsi="Times New Roman" w:cs="Times New Roman"/>
          <w:color w:val="000000"/>
          <w:sz w:val="20"/>
          <w:szCs w:val="20"/>
          <w:lang w:val="en-US"/>
        </w:rPr>
        <w:t xml:space="preserve"> </w:t>
      </w:r>
      <w:proofErr w:type="spellStart"/>
      <w:r w:rsidRPr="00C2202A">
        <w:rPr>
          <w:rFonts w:ascii="Times New Roman" w:eastAsia="Book Antiqua" w:hAnsi="Times New Roman" w:cs="Times New Roman"/>
          <w:smallCaps/>
          <w:color w:val="000000"/>
          <w:sz w:val="20"/>
          <w:szCs w:val="20"/>
          <w:lang w:val="en-US"/>
        </w:rPr>
        <w:t>Wisser</w:t>
      </w:r>
      <w:proofErr w:type="spellEnd"/>
      <w:r w:rsidRPr="00C2202A">
        <w:rPr>
          <w:rFonts w:ascii="Times New Roman" w:eastAsia="Book Antiqua" w:hAnsi="Times New Roman" w:cs="Times New Roman"/>
          <w:color w:val="000000"/>
          <w:sz w:val="20"/>
          <w:szCs w:val="20"/>
          <w:lang w:val="en-US"/>
        </w:rPr>
        <w:t>,</w:t>
      </w:r>
      <w:r w:rsidR="005C1438" w:rsidRPr="00C2202A">
        <w:rPr>
          <w:rFonts w:ascii="Times New Roman" w:eastAsia="Book Antiqua" w:hAnsi="Times New Roman" w:cs="Times New Roman"/>
          <w:color w:val="000000"/>
          <w:sz w:val="20"/>
          <w:szCs w:val="20"/>
          <w:lang w:val="en-US"/>
        </w:rPr>
        <w:t xml:space="preserve"> L., </w:t>
      </w:r>
      <w:r w:rsidR="005C1438" w:rsidRPr="004F1878">
        <w:rPr>
          <w:rFonts w:ascii="Times New Roman" w:hAnsi="Times New Roman" w:cs="Times New Roman"/>
          <w:sz w:val="20"/>
          <w:szCs w:val="20"/>
          <w:lang w:val="en-US"/>
        </w:rPr>
        <w:t xml:space="preserve">«Pandora’s algorithmic black box: the challenges of using algorithmic risk assessments in sentencing», </w:t>
      </w:r>
      <w:r w:rsidR="005C1438" w:rsidRPr="004F1878">
        <w:rPr>
          <w:rFonts w:ascii="Times New Roman" w:hAnsi="Times New Roman" w:cs="Times New Roman"/>
          <w:i/>
          <w:sz w:val="20"/>
          <w:szCs w:val="20"/>
          <w:lang w:val="en-US"/>
        </w:rPr>
        <w:t>American Criminal Law Review</w:t>
      </w:r>
      <w:r w:rsidR="005C1438" w:rsidRPr="004F1878">
        <w:rPr>
          <w:rFonts w:ascii="Times New Roman" w:hAnsi="Times New Roman" w:cs="Times New Roman"/>
          <w:sz w:val="20"/>
          <w:szCs w:val="20"/>
          <w:lang w:val="en-US"/>
        </w:rPr>
        <w:t xml:space="preserve">, vol. 56, </w:t>
      </w:r>
      <w:proofErr w:type="spellStart"/>
      <w:r w:rsidR="005C1438" w:rsidRPr="004F1878">
        <w:rPr>
          <w:rFonts w:ascii="Times New Roman" w:hAnsi="Times New Roman" w:cs="Times New Roman"/>
          <w:sz w:val="20"/>
          <w:szCs w:val="20"/>
          <w:lang w:val="en-US"/>
        </w:rPr>
        <w:t>núm</w:t>
      </w:r>
      <w:proofErr w:type="spellEnd"/>
      <w:r w:rsidR="005C1438" w:rsidRPr="004F1878">
        <w:rPr>
          <w:rFonts w:ascii="Times New Roman" w:hAnsi="Times New Roman" w:cs="Times New Roman"/>
          <w:sz w:val="20"/>
          <w:szCs w:val="20"/>
          <w:lang w:val="en-US"/>
        </w:rPr>
        <w:t xml:space="preserve">. 4, </w:t>
      </w:r>
      <w:r w:rsidRPr="00C2202A">
        <w:rPr>
          <w:rFonts w:ascii="Times New Roman" w:eastAsia="Book Antiqua" w:hAnsi="Times New Roman" w:cs="Times New Roman"/>
          <w:color w:val="000000"/>
          <w:sz w:val="20"/>
          <w:szCs w:val="20"/>
          <w:lang w:val="en-US"/>
        </w:rPr>
        <w:t xml:space="preserve">2019, p. 1824. </w:t>
      </w:r>
    </w:p>
  </w:footnote>
  <w:footnote w:id="20">
    <w:p w14:paraId="37D309A3" w14:textId="50321B69" w:rsidR="00485B5F" w:rsidRPr="00C2202A" w:rsidRDefault="00485B5F" w:rsidP="005C1438">
      <w:pPr>
        <w:autoSpaceDE w:val="0"/>
        <w:autoSpaceDN w:val="0"/>
        <w:adjustRightInd w:val="0"/>
        <w:jc w:val="both"/>
        <w:rPr>
          <w:rFonts w:ascii="Times New Roman" w:hAnsi="Times New Roman" w:cs="Times New Roman"/>
          <w:sz w:val="20"/>
          <w:szCs w:val="20"/>
          <w:lang w:val="es-ES_tradnl"/>
        </w:rPr>
      </w:pPr>
      <w:r w:rsidRPr="00C2202A">
        <w:rPr>
          <w:rFonts w:ascii="Times New Roman" w:hAnsi="Times New Roman" w:cs="Times New Roman"/>
          <w:sz w:val="20"/>
          <w:szCs w:val="20"/>
          <w:vertAlign w:val="superscript"/>
        </w:rPr>
        <w:footnoteRef/>
      </w:r>
      <w:r w:rsidRPr="004F1878">
        <w:rPr>
          <w:rFonts w:ascii="Times New Roman" w:eastAsia="Book Antiqua" w:hAnsi="Times New Roman" w:cs="Times New Roman"/>
          <w:color w:val="000000"/>
          <w:sz w:val="20"/>
          <w:szCs w:val="20"/>
          <w:lang w:val="en-US"/>
        </w:rPr>
        <w:t xml:space="preserve"> </w:t>
      </w:r>
      <w:r w:rsidRPr="004F1878">
        <w:rPr>
          <w:rFonts w:ascii="Times New Roman" w:eastAsia="Book Antiqua" w:hAnsi="Times New Roman" w:cs="Times New Roman"/>
          <w:smallCaps/>
          <w:color w:val="000000"/>
          <w:sz w:val="20"/>
          <w:szCs w:val="20"/>
          <w:lang w:val="en-US"/>
        </w:rPr>
        <w:t>Pasquale</w:t>
      </w:r>
      <w:r w:rsidRPr="004F1878">
        <w:rPr>
          <w:rFonts w:ascii="Times New Roman" w:eastAsia="Book Antiqua" w:hAnsi="Times New Roman" w:cs="Times New Roman"/>
          <w:color w:val="000000"/>
          <w:sz w:val="20"/>
          <w:szCs w:val="20"/>
          <w:lang w:val="en-US"/>
        </w:rPr>
        <w:t>,</w:t>
      </w:r>
      <w:r w:rsidR="005C1438" w:rsidRPr="004F1878">
        <w:rPr>
          <w:rFonts w:ascii="Times New Roman" w:eastAsia="Book Antiqua" w:hAnsi="Times New Roman" w:cs="Times New Roman"/>
          <w:color w:val="000000"/>
          <w:sz w:val="20"/>
          <w:szCs w:val="20"/>
          <w:lang w:val="en-US"/>
        </w:rPr>
        <w:t xml:space="preserve"> F., </w:t>
      </w:r>
      <w:r w:rsidR="005C1438" w:rsidRPr="004F1878">
        <w:rPr>
          <w:rFonts w:ascii="Times New Roman" w:hAnsi="Times New Roman" w:cs="Times New Roman"/>
          <w:sz w:val="20"/>
          <w:szCs w:val="20"/>
          <w:lang w:val="en-US"/>
        </w:rPr>
        <w:t xml:space="preserve">«Secret Algorithms Threaten the Rule of Law», </w:t>
      </w:r>
      <w:r w:rsidR="005C1438" w:rsidRPr="004F1878">
        <w:rPr>
          <w:rFonts w:ascii="Times New Roman" w:hAnsi="Times New Roman" w:cs="Times New Roman"/>
          <w:i/>
          <w:sz w:val="20"/>
          <w:szCs w:val="20"/>
          <w:lang w:val="en-US"/>
        </w:rPr>
        <w:t xml:space="preserve">MIT Tech. </w:t>
      </w:r>
      <w:proofErr w:type="spellStart"/>
      <w:r w:rsidR="005C1438" w:rsidRPr="00C2202A">
        <w:rPr>
          <w:rFonts w:ascii="Times New Roman" w:hAnsi="Times New Roman" w:cs="Times New Roman"/>
          <w:i/>
          <w:sz w:val="20"/>
          <w:szCs w:val="20"/>
          <w:lang w:val="es-ES_tradnl"/>
        </w:rPr>
        <w:t>Review</w:t>
      </w:r>
      <w:proofErr w:type="spellEnd"/>
      <w:r w:rsidR="005C1438" w:rsidRPr="00C2202A">
        <w:rPr>
          <w:rFonts w:ascii="Times New Roman" w:hAnsi="Times New Roman" w:cs="Times New Roman"/>
          <w:sz w:val="20"/>
          <w:szCs w:val="20"/>
          <w:lang w:val="es-ES_tradnl"/>
        </w:rPr>
        <w:t xml:space="preserve">, </w:t>
      </w:r>
      <w:r w:rsidRPr="00C2202A">
        <w:rPr>
          <w:rFonts w:ascii="Times New Roman" w:eastAsia="Book Antiqua" w:hAnsi="Times New Roman" w:cs="Times New Roman"/>
          <w:color w:val="000000"/>
          <w:sz w:val="20"/>
          <w:szCs w:val="20"/>
        </w:rPr>
        <w:t xml:space="preserve">2017. </w:t>
      </w:r>
    </w:p>
  </w:footnote>
  <w:footnote w:id="21">
    <w:p w14:paraId="15ADC5C4" w14:textId="3E32D6F6" w:rsidR="00485B5F" w:rsidRPr="00C2202A" w:rsidRDefault="00485B5F" w:rsidP="005C1438">
      <w:pPr>
        <w:pBdr>
          <w:top w:val="nil"/>
          <w:left w:val="nil"/>
          <w:bottom w:val="nil"/>
          <w:right w:val="nil"/>
          <w:between w:val="nil"/>
        </w:pBdr>
        <w:jc w:val="both"/>
        <w:rPr>
          <w:rFonts w:ascii="Times New Roman" w:eastAsia="Book Antiqua" w:hAnsi="Times New Roman" w:cs="Times New Roman"/>
          <w:color w:val="000000"/>
          <w:sz w:val="20"/>
          <w:szCs w:val="20"/>
        </w:rPr>
      </w:pPr>
      <w:r w:rsidRPr="00C2202A">
        <w:rPr>
          <w:rFonts w:ascii="Times New Roman" w:hAnsi="Times New Roman" w:cs="Times New Roman"/>
          <w:sz w:val="20"/>
          <w:szCs w:val="20"/>
          <w:vertAlign w:val="superscript"/>
        </w:rPr>
        <w:footnoteRef/>
      </w:r>
      <w:r w:rsidRPr="00C2202A">
        <w:rPr>
          <w:rFonts w:ascii="Times New Roman" w:eastAsia="Book Antiqua" w:hAnsi="Times New Roman" w:cs="Times New Roman"/>
          <w:color w:val="000000"/>
          <w:sz w:val="20"/>
          <w:szCs w:val="20"/>
        </w:rPr>
        <w:t xml:space="preserve"> </w:t>
      </w:r>
      <w:r w:rsidRPr="00C2202A">
        <w:rPr>
          <w:rFonts w:ascii="Times New Roman" w:eastAsia="Book Antiqua" w:hAnsi="Times New Roman" w:cs="Times New Roman"/>
          <w:smallCaps/>
          <w:color w:val="000000"/>
          <w:sz w:val="20"/>
          <w:szCs w:val="20"/>
        </w:rPr>
        <w:t>Lee Park</w:t>
      </w:r>
      <w:r w:rsidRPr="00C2202A">
        <w:rPr>
          <w:rFonts w:ascii="Times New Roman" w:eastAsia="Book Antiqua" w:hAnsi="Times New Roman" w:cs="Times New Roman"/>
          <w:color w:val="000000"/>
          <w:sz w:val="20"/>
          <w:szCs w:val="20"/>
        </w:rPr>
        <w:t>,</w:t>
      </w:r>
      <w:r w:rsidR="005C1438" w:rsidRPr="00C2202A">
        <w:rPr>
          <w:rFonts w:ascii="Times New Roman" w:eastAsia="Book Antiqua" w:hAnsi="Times New Roman" w:cs="Times New Roman"/>
          <w:color w:val="000000"/>
          <w:sz w:val="20"/>
          <w:szCs w:val="20"/>
        </w:rPr>
        <w:t xml:space="preserve"> A.,</w:t>
      </w:r>
      <w:r w:rsidRPr="00C2202A">
        <w:rPr>
          <w:rFonts w:ascii="Times New Roman" w:eastAsia="Book Antiqua" w:hAnsi="Times New Roman" w:cs="Times New Roman"/>
          <w:color w:val="000000"/>
          <w:sz w:val="20"/>
          <w:szCs w:val="20"/>
        </w:rPr>
        <w:t xml:space="preserve"> 2019.</w:t>
      </w:r>
    </w:p>
  </w:footnote>
  <w:footnote w:id="22">
    <w:p w14:paraId="6069595D" w14:textId="2A98635E" w:rsidR="00C72748" w:rsidRPr="00C2202A" w:rsidRDefault="00C72748" w:rsidP="005C1438">
      <w:pPr>
        <w:pStyle w:val="Textonotapie"/>
        <w:jc w:val="both"/>
        <w:rPr>
          <w:rFonts w:ascii="Times New Roman" w:hAnsi="Times New Roman" w:cs="Times New Roman"/>
        </w:rPr>
      </w:pPr>
      <w:r w:rsidRPr="00C2202A">
        <w:rPr>
          <w:rStyle w:val="Refdenotaalpie"/>
          <w:rFonts w:ascii="Times New Roman" w:hAnsi="Times New Roman" w:cs="Times New Roman"/>
        </w:rPr>
        <w:footnoteRef/>
      </w:r>
      <w:r w:rsidRPr="00C2202A">
        <w:rPr>
          <w:rFonts w:ascii="Times New Roman" w:hAnsi="Times New Roman" w:cs="Times New Roman"/>
        </w:rPr>
        <w:t xml:space="preserve"> Previamente cabe citar, por su carácter fundamental en materia de IA -si bien no específicamente orientada a la esfera penal- la Resolución del Parlamento Europeo, de 20 de octubre de 2020, con recomendaciones destinadas a la Comisión sobre un marco de los aspectos éticos de la inteligencia artificial, la robótica y las tecnologías conexas (2020/2021(INL)).</w:t>
      </w:r>
    </w:p>
  </w:footnote>
  <w:footnote w:id="23">
    <w:p w14:paraId="264EBD92" w14:textId="5D74F91F" w:rsidR="00376F01" w:rsidRPr="00C2202A" w:rsidRDefault="00376F01" w:rsidP="005C1438">
      <w:pPr>
        <w:pStyle w:val="Textonotapie"/>
        <w:jc w:val="both"/>
        <w:rPr>
          <w:rFonts w:ascii="Times New Roman" w:hAnsi="Times New Roman" w:cs="Times New Roman"/>
        </w:rPr>
      </w:pPr>
      <w:r w:rsidRPr="00C2202A">
        <w:rPr>
          <w:rStyle w:val="Refdenotaalpie"/>
          <w:rFonts w:ascii="Times New Roman" w:hAnsi="Times New Roman" w:cs="Times New Roman"/>
        </w:rPr>
        <w:footnoteRef/>
      </w:r>
      <w:r w:rsidRPr="00C2202A">
        <w:rPr>
          <w:rFonts w:ascii="Times New Roman" w:hAnsi="Times New Roman" w:cs="Times New Roman"/>
        </w:rPr>
        <w:t xml:space="preserve"> </w:t>
      </w:r>
      <w:r w:rsidRPr="00C2202A">
        <w:rPr>
          <w:rFonts w:ascii="Times New Roman" w:hAnsi="Times New Roman" w:cs="Times New Roman"/>
          <w:i/>
        </w:rPr>
        <w:t xml:space="preserve">Artificial </w:t>
      </w:r>
      <w:proofErr w:type="spellStart"/>
      <w:r w:rsidRPr="00C2202A">
        <w:rPr>
          <w:rFonts w:ascii="Times New Roman" w:hAnsi="Times New Roman" w:cs="Times New Roman"/>
          <w:i/>
        </w:rPr>
        <w:t>Intelligence</w:t>
      </w:r>
      <w:proofErr w:type="spellEnd"/>
      <w:r w:rsidRPr="00C2202A">
        <w:rPr>
          <w:rFonts w:ascii="Times New Roman" w:hAnsi="Times New Roman" w:cs="Times New Roman"/>
          <w:i/>
        </w:rPr>
        <w:t xml:space="preserve"> </w:t>
      </w:r>
      <w:proofErr w:type="spellStart"/>
      <w:r w:rsidRPr="00C2202A">
        <w:rPr>
          <w:rFonts w:ascii="Times New Roman" w:hAnsi="Times New Roman" w:cs="Times New Roman"/>
          <w:i/>
        </w:rPr>
        <w:t>Act</w:t>
      </w:r>
      <w:proofErr w:type="spellEnd"/>
      <w:r w:rsidRPr="00C2202A">
        <w:rPr>
          <w:rFonts w:ascii="Times New Roman" w:hAnsi="Times New Roman" w:cs="Times New Roman"/>
        </w:rPr>
        <w:t xml:space="preserve"> (</w:t>
      </w:r>
      <w:r w:rsidR="00A614D6">
        <w:rPr>
          <w:rFonts w:ascii="Times New Roman" w:hAnsi="Times New Roman" w:cs="Times New Roman"/>
        </w:rPr>
        <w:t xml:space="preserve">en adelante, </w:t>
      </w:r>
      <w:r w:rsidRPr="00C2202A">
        <w:rPr>
          <w:rFonts w:ascii="Times New Roman" w:hAnsi="Times New Roman" w:cs="Times New Roman"/>
        </w:rPr>
        <w:t xml:space="preserve">AIA). </w:t>
      </w:r>
    </w:p>
  </w:footnote>
  <w:footnote w:id="24">
    <w:p w14:paraId="1E80E5A6" w14:textId="0651A9EA" w:rsidR="00E375B2" w:rsidRPr="00C2202A" w:rsidRDefault="00E375B2" w:rsidP="005C1438">
      <w:pPr>
        <w:pStyle w:val="Textonotapie"/>
        <w:jc w:val="both"/>
        <w:rPr>
          <w:rFonts w:ascii="Times New Roman" w:hAnsi="Times New Roman" w:cs="Times New Roman"/>
        </w:rPr>
      </w:pPr>
      <w:r w:rsidRPr="00C2202A">
        <w:rPr>
          <w:rStyle w:val="Refdenotaalpie"/>
          <w:rFonts w:ascii="Times New Roman" w:hAnsi="Times New Roman" w:cs="Times New Roman"/>
        </w:rPr>
        <w:footnoteRef/>
      </w:r>
      <w:r w:rsidRPr="00C2202A">
        <w:rPr>
          <w:rFonts w:ascii="Times New Roman" w:hAnsi="Times New Roman" w:cs="Times New Roman"/>
        </w:rPr>
        <w:t xml:space="preserve"> </w:t>
      </w:r>
      <w:r w:rsidR="004F1878" w:rsidRPr="002527F9">
        <w:rPr>
          <w:rFonts w:ascii="Times New Roman" w:hAnsi="Times New Roman" w:cs="Times New Roman"/>
        </w:rPr>
        <w:t xml:space="preserve">Véase </w:t>
      </w:r>
      <w:r w:rsidR="004F1878">
        <w:rPr>
          <w:rFonts w:ascii="Times New Roman" w:hAnsi="Times New Roman" w:cs="Times New Roman"/>
        </w:rPr>
        <w:t>G</w:t>
      </w:r>
      <w:r w:rsidR="004F1878" w:rsidRPr="002527F9">
        <w:rPr>
          <w:rFonts w:ascii="Times New Roman" w:hAnsi="Times New Roman" w:cs="Times New Roman"/>
        </w:rPr>
        <w:t>. Lazcoz/A. Urruela/I. De Miguel, “</w:t>
      </w:r>
      <w:r w:rsidR="004F1878">
        <w:rPr>
          <w:rFonts w:ascii="Times New Roman" w:hAnsi="Times New Roman" w:cs="Times New Roman"/>
        </w:rPr>
        <w:t>L</w:t>
      </w:r>
      <w:r w:rsidR="004F1878" w:rsidRPr="002527F9">
        <w:rPr>
          <w:rFonts w:ascii="Times New Roman" w:hAnsi="Times New Roman" w:cs="Times New Roman"/>
        </w:rPr>
        <w:t xml:space="preserve">a </w:t>
      </w:r>
      <w:r w:rsidR="004F1878">
        <w:rPr>
          <w:rFonts w:ascii="Times New Roman" w:hAnsi="Times New Roman" w:cs="Times New Roman"/>
        </w:rPr>
        <w:t>P</w:t>
      </w:r>
      <w:r w:rsidR="004F1878" w:rsidRPr="002527F9">
        <w:rPr>
          <w:rFonts w:ascii="Times New Roman" w:hAnsi="Times New Roman" w:cs="Times New Roman"/>
        </w:rPr>
        <w:t xml:space="preserve">ropuesta de </w:t>
      </w:r>
      <w:r w:rsidR="004F1878">
        <w:rPr>
          <w:rFonts w:ascii="Times New Roman" w:hAnsi="Times New Roman" w:cs="Times New Roman"/>
        </w:rPr>
        <w:t>R</w:t>
      </w:r>
      <w:r w:rsidR="004F1878" w:rsidRPr="002527F9">
        <w:rPr>
          <w:rFonts w:ascii="Times New Roman" w:hAnsi="Times New Roman" w:cs="Times New Roman"/>
        </w:rPr>
        <w:t>eglamento “</w:t>
      </w:r>
      <w:r w:rsidR="004F1878">
        <w:rPr>
          <w:rFonts w:ascii="Times New Roman" w:hAnsi="Times New Roman" w:cs="Times New Roman"/>
        </w:rPr>
        <w:t>L</w:t>
      </w:r>
      <w:r w:rsidR="004F1878" w:rsidRPr="002527F9">
        <w:rPr>
          <w:rFonts w:ascii="Times New Roman" w:hAnsi="Times New Roman" w:cs="Times New Roman"/>
        </w:rPr>
        <w:t xml:space="preserve">ey de </w:t>
      </w:r>
      <w:r w:rsidR="004F1878">
        <w:rPr>
          <w:rFonts w:ascii="Times New Roman" w:hAnsi="Times New Roman" w:cs="Times New Roman"/>
        </w:rPr>
        <w:t>I</w:t>
      </w:r>
      <w:r w:rsidR="004F1878" w:rsidRPr="002527F9">
        <w:rPr>
          <w:rFonts w:ascii="Times New Roman" w:hAnsi="Times New Roman" w:cs="Times New Roman"/>
        </w:rPr>
        <w:t xml:space="preserve">nteligencia </w:t>
      </w:r>
      <w:r w:rsidR="004F1878">
        <w:rPr>
          <w:rFonts w:ascii="Times New Roman" w:hAnsi="Times New Roman" w:cs="Times New Roman"/>
        </w:rPr>
        <w:t>A</w:t>
      </w:r>
      <w:r w:rsidR="004F1878" w:rsidRPr="002527F9">
        <w:rPr>
          <w:rFonts w:ascii="Times New Roman" w:hAnsi="Times New Roman" w:cs="Times New Roman"/>
        </w:rPr>
        <w:t xml:space="preserve">rtificial”: análisis de su posible impacto en la utilización de sistemas automatizados en el ámbito del </w:t>
      </w:r>
      <w:r w:rsidR="004F1878">
        <w:rPr>
          <w:rFonts w:ascii="Times New Roman" w:hAnsi="Times New Roman" w:cs="Times New Roman"/>
        </w:rPr>
        <w:t>D</w:t>
      </w:r>
      <w:r w:rsidR="004F1878" w:rsidRPr="002527F9">
        <w:rPr>
          <w:rFonts w:ascii="Times New Roman" w:hAnsi="Times New Roman" w:cs="Times New Roman"/>
        </w:rPr>
        <w:t xml:space="preserve">erecho </w:t>
      </w:r>
      <w:r w:rsidR="004F1878">
        <w:rPr>
          <w:rFonts w:ascii="Times New Roman" w:hAnsi="Times New Roman" w:cs="Times New Roman"/>
        </w:rPr>
        <w:t>P</w:t>
      </w:r>
      <w:r w:rsidR="004F1878" w:rsidRPr="002527F9">
        <w:rPr>
          <w:rFonts w:ascii="Times New Roman" w:hAnsi="Times New Roman" w:cs="Times New Roman"/>
        </w:rPr>
        <w:t xml:space="preserve">enal”, </w:t>
      </w:r>
      <w:r w:rsidR="004F1878" w:rsidRPr="00BF31D9">
        <w:rPr>
          <w:rFonts w:ascii="Times New Roman" w:hAnsi="Times New Roman" w:cs="Times New Roman"/>
          <w:i/>
        </w:rPr>
        <w:t>en prensa</w:t>
      </w:r>
      <w:r w:rsidR="004F1878" w:rsidRPr="002527F9">
        <w:rPr>
          <w:rFonts w:ascii="Times New Roman" w:hAnsi="Times New Roman" w:cs="Times New Roman"/>
        </w:rPr>
        <w:t>.</w:t>
      </w:r>
    </w:p>
  </w:footnote>
  <w:footnote w:id="25">
    <w:p w14:paraId="02DC4281" w14:textId="3F6D7D73" w:rsidR="00FA6649" w:rsidRPr="004F1878" w:rsidRDefault="00FA6649" w:rsidP="005C1438">
      <w:pPr>
        <w:pStyle w:val="Textonotapie"/>
        <w:jc w:val="both"/>
        <w:rPr>
          <w:sz w:val="24"/>
          <w:szCs w:val="24"/>
          <w:lang w:val="en-US"/>
        </w:rPr>
      </w:pPr>
      <w:r w:rsidRPr="00C2202A">
        <w:rPr>
          <w:rStyle w:val="Refdenotaalpie"/>
          <w:rFonts w:ascii="Times New Roman" w:hAnsi="Times New Roman" w:cs="Times New Roman"/>
        </w:rPr>
        <w:footnoteRef/>
      </w:r>
      <w:r w:rsidRPr="004F1878">
        <w:rPr>
          <w:rFonts w:ascii="Times New Roman" w:hAnsi="Times New Roman" w:cs="Times New Roman"/>
          <w:lang w:val="en-US"/>
        </w:rPr>
        <w:t xml:space="preserve"> </w:t>
      </w:r>
      <w:r w:rsidRPr="00C2202A">
        <w:rPr>
          <w:rFonts w:ascii="Times New Roman" w:hAnsi="Times New Roman" w:cs="Times New Roman"/>
          <w:i/>
          <w:iCs/>
          <w:lang w:val="en-US"/>
        </w:rPr>
        <w:t>Joint Opinion 5/2021 on the proposal for a Regulation of the European Parliament and of the Council laying down harmonized rules on artificial i</w:t>
      </w:r>
      <w:r w:rsidRPr="005C1438">
        <w:rPr>
          <w:rFonts w:ascii="Times New Roman" w:hAnsi="Times New Roman" w:cs="Times New Roman"/>
          <w:i/>
          <w:iCs/>
          <w:lang w:val="en-US"/>
        </w:rPr>
        <w:t>ntelligence (Artificial Intelligence Act),</w:t>
      </w:r>
      <w:r w:rsidRPr="005C1438">
        <w:rPr>
          <w:rFonts w:ascii="Times New Roman" w:hAnsi="Times New Roman" w:cs="Times New Roman"/>
          <w:lang w:val="en-US"/>
        </w:rPr>
        <w:t xml:space="preserve"> 18 June 2021.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627E8"/>
    <w:multiLevelType w:val="hybridMultilevel"/>
    <w:tmpl w:val="FD7AF110"/>
    <w:lvl w:ilvl="0" w:tplc="1D78F448">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3C93150A"/>
    <w:multiLevelType w:val="hybridMultilevel"/>
    <w:tmpl w:val="6E44872E"/>
    <w:lvl w:ilvl="0" w:tplc="A014987C">
      <w:start w:val="1"/>
      <w:numFmt w:val="decimal"/>
      <w:lvlText w:val="%1."/>
      <w:lvlJc w:val="left"/>
      <w:pPr>
        <w:ind w:left="720" w:hanging="360"/>
      </w:pPr>
      <w:rPr>
        <w:rFonts w:eastAsia="Times New Roman" w:cs="Times New Roman"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8D5"/>
    <w:rsid w:val="00003D9A"/>
    <w:rsid w:val="00004382"/>
    <w:rsid w:val="000138A0"/>
    <w:rsid w:val="0002704B"/>
    <w:rsid w:val="00063027"/>
    <w:rsid w:val="000A0ED3"/>
    <w:rsid w:val="000E044C"/>
    <w:rsid w:val="00104BB5"/>
    <w:rsid w:val="00111C79"/>
    <w:rsid w:val="001173B5"/>
    <w:rsid w:val="00135C15"/>
    <w:rsid w:val="00142299"/>
    <w:rsid w:val="00142C07"/>
    <w:rsid w:val="00174B59"/>
    <w:rsid w:val="0019302F"/>
    <w:rsid w:val="00197E3D"/>
    <w:rsid w:val="001F5C4D"/>
    <w:rsid w:val="002527F9"/>
    <w:rsid w:val="0025764E"/>
    <w:rsid w:val="00277B89"/>
    <w:rsid w:val="0029128F"/>
    <w:rsid w:val="002A510F"/>
    <w:rsid w:val="002B7B6E"/>
    <w:rsid w:val="002F7F5D"/>
    <w:rsid w:val="00306F08"/>
    <w:rsid w:val="0031790B"/>
    <w:rsid w:val="003228E7"/>
    <w:rsid w:val="00337AC5"/>
    <w:rsid w:val="00375135"/>
    <w:rsid w:val="00376F01"/>
    <w:rsid w:val="00422B5C"/>
    <w:rsid w:val="00480558"/>
    <w:rsid w:val="00485B5F"/>
    <w:rsid w:val="004A238B"/>
    <w:rsid w:val="004B0A03"/>
    <w:rsid w:val="004E34DD"/>
    <w:rsid w:val="004E6D2B"/>
    <w:rsid w:val="004F1878"/>
    <w:rsid w:val="00505280"/>
    <w:rsid w:val="0054434D"/>
    <w:rsid w:val="005443D8"/>
    <w:rsid w:val="005537A8"/>
    <w:rsid w:val="005B1D45"/>
    <w:rsid w:val="005B5192"/>
    <w:rsid w:val="005C1438"/>
    <w:rsid w:val="005D5208"/>
    <w:rsid w:val="005E009C"/>
    <w:rsid w:val="005E67D0"/>
    <w:rsid w:val="00601803"/>
    <w:rsid w:val="006134B7"/>
    <w:rsid w:val="00632AE8"/>
    <w:rsid w:val="00642C3B"/>
    <w:rsid w:val="00666F0B"/>
    <w:rsid w:val="006C3E1E"/>
    <w:rsid w:val="006E1887"/>
    <w:rsid w:val="006F0AB7"/>
    <w:rsid w:val="006F3DC2"/>
    <w:rsid w:val="00724228"/>
    <w:rsid w:val="00733F9D"/>
    <w:rsid w:val="0074592F"/>
    <w:rsid w:val="007C4D29"/>
    <w:rsid w:val="0081166C"/>
    <w:rsid w:val="00837A85"/>
    <w:rsid w:val="008D6A62"/>
    <w:rsid w:val="008E3FDB"/>
    <w:rsid w:val="0098199D"/>
    <w:rsid w:val="00985965"/>
    <w:rsid w:val="009E3594"/>
    <w:rsid w:val="009E633D"/>
    <w:rsid w:val="009F4F4C"/>
    <w:rsid w:val="00A06DCA"/>
    <w:rsid w:val="00A15E56"/>
    <w:rsid w:val="00A219A3"/>
    <w:rsid w:val="00A379DA"/>
    <w:rsid w:val="00A438DF"/>
    <w:rsid w:val="00A440F2"/>
    <w:rsid w:val="00A614D6"/>
    <w:rsid w:val="00A64086"/>
    <w:rsid w:val="00A96B81"/>
    <w:rsid w:val="00AB7BE1"/>
    <w:rsid w:val="00AE6BF1"/>
    <w:rsid w:val="00AF63B7"/>
    <w:rsid w:val="00B0362D"/>
    <w:rsid w:val="00B40949"/>
    <w:rsid w:val="00B4232F"/>
    <w:rsid w:val="00B63537"/>
    <w:rsid w:val="00BB28E5"/>
    <w:rsid w:val="00BC7B9D"/>
    <w:rsid w:val="00BD5957"/>
    <w:rsid w:val="00BF31D9"/>
    <w:rsid w:val="00C01DB7"/>
    <w:rsid w:val="00C11973"/>
    <w:rsid w:val="00C2202A"/>
    <w:rsid w:val="00C27761"/>
    <w:rsid w:val="00C66862"/>
    <w:rsid w:val="00C72748"/>
    <w:rsid w:val="00C95431"/>
    <w:rsid w:val="00CA42BB"/>
    <w:rsid w:val="00CA6EE3"/>
    <w:rsid w:val="00CC46BA"/>
    <w:rsid w:val="00CC6439"/>
    <w:rsid w:val="00CD6088"/>
    <w:rsid w:val="00CF0C5E"/>
    <w:rsid w:val="00D13F77"/>
    <w:rsid w:val="00D30FB8"/>
    <w:rsid w:val="00D364F9"/>
    <w:rsid w:val="00D55B8A"/>
    <w:rsid w:val="00D628D5"/>
    <w:rsid w:val="00D66D97"/>
    <w:rsid w:val="00D77F47"/>
    <w:rsid w:val="00D83558"/>
    <w:rsid w:val="00D86249"/>
    <w:rsid w:val="00DA001F"/>
    <w:rsid w:val="00DB6716"/>
    <w:rsid w:val="00DE1ECB"/>
    <w:rsid w:val="00E11301"/>
    <w:rsid w:val="00E36715"/>
    <w:rsid w:val="00E375B2"/>
    <w:rsid w:val="00E409B8"/>
    <w:rsid w:val="00E56D08"/>
    <w:rsid w:val="00E76741"/>
    <w:rsid w:val="00E863A5"/>
    <w:rsid w:val="00E9072F"/>
    <w:rsid w:val="00E96276"/>
    <w:rsid w:val="00F02D25"/>
    <w:rsid w:val="00F152CB"/>
    <w:rsid w:val="00F80416"/>
    <w:rsid w:val="00FA6649"/>
    <w:rsid w:val="00FF0E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2A1F2AEE"/>
  <w15:chartTrackingRefBased/>
  <w15:docId w15:val="{CC325272-3DBE-924F-8852-1A5C8AAF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375135"/>
    <w:rPr>
      <w:sz w:val="20"/>
      <w:szCs w:val="20"/>
    </w:rPr>
  </w:style>
  <w:style w:type="character" w:customStyle="1" w:styleId="TextonotapieCar">
    <w:name w:val="Texto nota pie Car"/>
    <w:basedOn w:val="Fuentedeprrafopredeter"/>
    <w:link w:val="Textonotapie"/>
    <w:uiPriority w:val="99"/>
    <w:rsid w:val="00375135"/>
    <w:rPr>
      <w:sz w:val="20"/>
      <w:szCs w:val="20"/>
    </w:rPr>
  </w:style>
  <w:style w:type="character" w:styleId="Refdenotaalpie">
    <w:name w:val="footnote reference"/>
    <w:basedOn w:val="Fuentedeprrafopredeter"/>
    <w:uiPriority w:val="99"/>
    <w:semiHidden/>
    <w:unhideWhenUsed/>
    <w:rsid w:val="00375135"/>
    <w:rPr>
      <w:vertAlign w:val="superscript"/>
    </w:rPr>
  </w:style>
  <w:style w:type="paragraph" w:customStyle="1" w:styleId="li">
    <w:name w:val="li"/>
    <w:basedOn w:val="Normal"/>
    <w:rsid w:val="0029128F"/>
    <w:pPr>
      <w:spacing w:before="100" w:beforeAutospacing="1" w:after="100" w:afterAutospacing="1"/>
    </w:pPr>
    <w:rPr>
      <w:rFonts w:ascii="Times New Roman" w:eastAsia="Times New Roman" w:hAnsi="Times New Roman" w:cs="Times New Roman"/>
      <w:lang w:eastAsia="es-ES_tradnl"/>
    </w:rPr>
  </w:style>
  <w:style w:type="character" w:customStyle="1" w:styleId="num">
    <w:name w:val="num"/>
    <w:basedOn w:val="Fuentedeprrafopredeter"/>
    <w:rsid w:val="0029128F"/>
  </w:style>
  <w:style w:type="character" w:styleId="Hipervnculo">
    <w:name w:val="Hyperlink"/>
    <w:basedOn w:val="Fuentedeprrafopredeter"/>
    <w:uiPriority w:val="99"/>
    <w:unhideWhenUsed/>
    <w:rsid w:val="00FA6649"/>
    <w:rPr>
      <w:color w:val="0563C1" w:themeColor="hyperlink"/>
      <w:u w:val="single"/>
    </w:rPr>
  </w:style>
  <w:style w:type="paragraph" w:styleId="Prrafodelista">
    <w:name w:val="List Paragraph"/>
    <w:basedOn w:val="Normal"/>
    <w:uiPriority w:val="34"/>
    <w:qFormat/>
    <w:rsid w:val="00E56D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83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3507</Words>
  <Characters>19292</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Asier Urruela Mora</dc:creator>
  <cp:keywords/>
  <dc:description/>
  <cp:lastModifiedBy>Asier Urruela Mora</cp:lastModifiedBy>
  <cp:revision>3</cp:revision>
  <cp:lastPrinted>2022-12-08T19:05:00Z</cp:lastPrinted>
  <dcterms:created xsi:type="dcterms:W3CDTF">2023-04-20T09:08:00Z</dcterms:created>
  <dcterms:modified xsi:type="dcterms:W3CDTF">2023-04-20T09:17:00Z</dcterms:modified>
</cp:coreProperties>
</file>